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885550" w14:textId="6DC87B59" w:rsidR="002C3BF3" w:rsidRDefault="002C3BF3" w:rsidP="00123B8C">
      <w:pPr>
        <w:tabs>
          <w:tab w:val="left" w:pos="720"/>
        </w:tabs>
        <w:jc w:val="both"/>
        <w:rPr>
          <w:rFonts w:ascii="Calibri" w:hAnsi="Calibri" w:cs="Calibri"/>
          <w:sz w:val="22"/>
          <w:szCs w:val="22"/>
        </w:rPr>
      </w:pPr>
      <w:r w:rsidRPr="46124DE8">
        <w:rPr>
          <w:rFonts w:ascii="Calibri" w:hAnsi="Calibri" w:cs="Calibri"/>
          <w:sz w:val="22"/>
          <w:szCs w:val="22"/>
        </w:rPr>
        <w:t>T</w:t>
      </w:r>
      <w:r w:rsidR="00591741" w:rsidRPr="46124DE8">
        <w:rPr>
          <w:rFonts w:ascii="Calibri" w:hAnsi="Calibri" w:cs="Calibri"/>
          <w:sz w:val="22"/>
          <w:szCs w:val="22"/>
        </w:rPr>
        <w:t>o:</w:t>
      </w:r>
      <w:r w:rsidR="00123B8C">
        <w:rPr>
          <w:rFonts w:ascii="Calibri" w:hAnsi="Calibri" w:cs="Calibri"/>
          <w:sz w:val="22"/>
          <w:szCs w:val="22"/>
        </w:rPr>
        <w:tab/>
      </w:r>
      <w:r w:rsidR="1CEE67E9" w:rsidRPr="46124DE8">
        <w:rPr>
          <w:rFonts w:ascii="Calibri" w:hAnsi="Calibri" w:cs="Calibri"/>
          <w:sz w:val="22"/>
          <w:szCs w:val="22"/>
        </w:rPr>
        <w:t xml:space="preserve">Kevin Clark, Chair of the Statutory Accounting Principles (E) Working Group </w:t>
      </w:r>
    </w:p>
    <w:p w14:paraId="3F8EB5BA" w14:textId="77777777" w:rsidR="00166305" w:rsidRDefault="1CEE67E9" w:rsidP="00EE45F4">
      <w:pPr>
        <w:ind w:firstLine="720"/>
        <w:jc w:val="both"/>
        <w:rPr>
          <w:rFonts w:ascii="Calibri" w:hAnsi="Calibri" w:cs="Calibri"/>
          <w:sz w:val="22"/>
          <w:szCs w:val="22"/>
        </w:rPr>
      </w:pPr>
      <w:r w:rsidRPr="46124DE8">
        <w:rPr>
          <w:rFonts w:ascii="Calibri" w:hAnsi="Calibri" w:cs="Calibri"/>
          <w:sz w:val="22"/>
          <w:szCs w:val="22"/>
        </w:rPr>
        <w:t>Dale Bruggeman, Vice Chair of the Statutory Accounting Principles (E) Working Group</w:t>
      </w:r>
    </w:p>
    <w:p w14:paraId="350D66AB" w14:textId="77777777" w:rsidR="00166305" w:rsidRPr="00166305" w:rsidRDefault="00166305" w:rsidP="00EE45F4">
      <w:pPr>
        <w:ind w:firstLine="720"/>
        <w:jc w:val="both"/>
        <w:rPr>
          <w:rFonts w:ascii="Calibri" w:hAnsi="Calibri" w:cs="Calibri"/>
          <w:sz w:val="22"/>
          <w:szCs w:val="22"/>
        </w:rPr>
      </w:pPr>
      <w:r w:rsidRPr="00166305">
        <w:rPr>
          <w:rFonts w:ascii="Calibri" w:hAnsi="Calibri" w:cs="Calibri"/>
          <w:sz w:val="22"/>
          <w:szCs w:val="22"/>
        </w:rPr>
        <w:t>Ben Slutsker, Chair of the Life Risk-Based Capital (E) Working Group </w:t>
      </w:r>
    </w:p>
    <w:p w14:paraId="5E2870CE" w14:textId="26FD704A" w:rsidR="00166305" w:rsidRPr="00166305" w:rsidRDefault="00166305" w:rsidP="00E717C6">
      <w:pPr>
        <w:spacing w:after="120"/>
        <w:ind w:firstLine="720"/>
        <w:jc w:val="both"/>
        <w:rPr>
          <w:rFonts w:ascii="Calibri" w:hAnsi="Calibri" w:cs="Calibri"/>
          <w:sz w:val="22"/>
          <w:szCs w:val="22"/>
        </w:rPr>
      </w:pPr>
      <w:r w:rsidRPr="00166305">
        <w:rPr>
          <w:rFonts w:ascii="Calibri" w:hAnsi="Calibri" w:cs="Calibri"/>
          <w:sz w:val="22"/>
          <w:szCs w:val="22"/>
        </w:rPr>
        <w:t>Philip Barlow, Vice Chair of the Life Risk-Based Capital (E) Working Group</w:t>
      </w:r>
    </w:p>
    <w:p w14:paraId="0E899E3F" w14:textId="0315DE96" w:rsidR="00591741" w:rsidRDefault="1CEE67E9" w:rsidP="00E717C6">
      <w:pPr>
        <w:jc w:val="both"/>
        <w:rPr>
          <w:rFonts w:ascii="Calibri" w:hAnsi="Calibri" w:cs="Calibri"/>
          <w:sz w:val="22"/>
          <w:szCs w:val="22"/>
        </w:rPr>
      </w:pPr>
      <w:r w:rsidRPr="46124DE8">
        <w:rPr>
          <w:rFonts w:ascii="Calibri" w:hAnsi="Calibri" w:cs="Calibri"/>
          <w:sz w:val="22"/>
          <w:szCs w:val="22"/>
        </w:rPr>
        <w:t xml:space="preserve"> </w:t>
      </w:r>
      <w:r w:rsidR="00591741" w:rsidRPr="46124DE8">
        <w:rPr>
          <w:rFonts w:ascii="Calibri" w:hAnsi="Calibri" w:cs="Calibri"/>
          <w:sz w:val="22"/>
          <w:szCs w:val="22"/>
        </w:rPr>
        <w:t xml:space="preserve">From: </w:t>
      </w:r>
      <w:r w:rsidR="00591741">
        <w:tab/>
      </w:r>
      <w:r w:rsidR="47A69D20" w:rsidRPr="46124DE8">
        <w:rPr>
          <w:rFonts w:ascii="Calibri" w:hAnsi="Calibri" w:cs="Calibri"/>
          <w:sz w:val="22"/>
          <w:szCs w:val="22"/>
        </w:rPr>
        <w:t>Carrie Mears, Chair of the Investment Analysis (E) Working Group</w:t>
      </w:r>
    </w:p>
    <w:p w14:paraId="672AC20C" w14:textId="145B9946" w:rsidR="47A69D20" w:rsidRDefault="47A69D20" w:rsidP="00E717C6">
      <w:pPr>
        <w:ind w:firstLine="720"/>
        <w:jc w:val="both"/>
        <w:rPr>
          <w:rFonts w:ascii="Calibri" w:hAnsi="Calibri" w:cs="Calibri"/>
          <w:sz w:val="22"/>
          <w:szCs w:val="22"/>
        </w:rPr>
      </w:pPr>
      <w:r w:rsidRPr="46124DE8">
        <w:rPr>
          <w:rFonts w:ascii="Calibri" w:hAnsi="Calibri" w:cs="Calibri"/>
          <w:sz w:val="22"/>
          <w:szCs w:val="22"/>
        </w:rPr>
        <w:t>Matt Cheung, Vice Chair of the Investment Analysis (E) Working Group</w:t>
      </w:r>
    </w:p>
    <w:p w14:paraId="050478BB" w14:textId="77777777" w:rsidR="00E717C6" w:rsidRPr="00E717C6" w:rsidRDefault="00E717C6" w:rsidP="00E717C6">
      <w:pPr>
        <w:ind w:firstLine="720"/>
        <w:jc w:val="both"/>
        <w:rPr>
          <w:rFonts w:ascii="Calibri" w:hAnsi="Calibri" w:cs="Calibri"/>
          <w:sz w:val="12"/>
          <w:szCs w:val="12"/>
        </w:rPr>
      </w:pPr>
    </w:p>
    <w:p w14:paraId="40439222" w14:textId="7BA6BD5D" w:rsidR="002C3BF3" w:rsidRPr="00950BEB" w:rsidRDefault="00591741" w:rsidP="000A2587">
      <w:pPr>
        <w:spacing w:after="120"/>
        <w:ind w:left="720" w:hanging="720"/>
        <w:jc w:val="both"/>
        <w:rPr>
          <w:rFonts w:ascii="Calibri" w:hAnsi="Calibri" w:cs="Calibri"/>
          <w:sz w:val="22"/>
          <w:szCs w:val="22"/>
        </w:rPr>
      </w:pPr>
      <w:r w:rsidRPr="00950BEB">
        <w:rPr>
          <w:rFonts w:ascii="Calibri" w:hAnsi="Calibri" w:cs="Calibri"/>
          <w:sz w:val="22"/>
          <w:szCs w:val="22"/>
        </w:rPr>
        <w:t xml:space="preserve">Re: </w:t>
      </w:r>
      <w:r w:rsidRPr="00950BEB">
        <w:rPr>
          <w:rFonts w:ascii="Calibri" w:hAnsi="Calibri" w:cs="Calibri"/>
          <w:sz w:val="22"/>
          <w:szCs w:val="22"/>
        </w:rPr>
        <w:tab/>
      </w:r>
      <w:r w:rsidR="00641B03">
        <w:rPr>
          <w:rFonts w:ascii="Calibri" w:hAnsi="Calibri" w:cs="Calibri"/>
          <w:sz w:val="22"/>
          <w:szCs w:val="22"/>
        </w:rPr>
        <w:t>Residential Mortgage Loan</w:t>
      </w:r>
      <w:r w:rsidR="00005F75">
        <w:rPr>
          <w:rFonts w:ascii="Calibri" w:hAnsi="Calibri" w:cs="Calibri"/>
          <w:sz w:val="22"/>
          <w:szCs w:val="22"/>
        </w:rPr>
        <w:t>s:</w:t>
      </w:r>
      <w:r w:rsidR="00641B03">
        <w:rPr>
          <w:rFonts w:ascii="Calibri" w:hAnsi="Calibri" w:cs="Calibri"/>
          <w:sz w:val="22"/>
          <w:szCs w:val="22"/>
        </w:rPr>
        <w:t xml:space="preserve"> Definition</w:t>
      </w:r>
      <w:r w:rsidR="00005F75">
        <w:rPr>
          <w:rFonts w:ascii="Calibri" w:hAnsi="Calibri" w:cs="Calibri"/>
          <w:sz w:val="22"/>
          <w:szCs w:val="22"/>
        </w:rPr>
        <w:t>, Disclosure and Risk-Based Capital</w:t>
      </w:r>
      <w:r w:rsidR="008F1B3D">
        <w:rPr>
          <w:rFonts w:ascii="Calibri" w:hAnsi="Calibri" w:cs="Calibri"/>
          <w:sz w:val="22"/>
          <w:szCs w:val="22"/>
        </w:rPr>
        <w:t xml:space="preserve"> Charges</w:t>
      </w:r>
      <w:r w:rsidR="00641B03">
        <w:rPr>
          <w:rFonts w:ascii="Calibri" w:hAnsi="Calibri" w:cs="Calibri"/>
          <w:sz w:val="22"/>
          <w:szCs w:val="22"/>
        </w:rPr>
        <w:t xml:space="preserve"> </w:t>
      </w:r>
    </w:p>
    <w:p w14:paraId="7B4A093A" w14:textId="44A83375" w:rsidR="002F09A5" w:rsidRPr="00950BEB" w:rsidRDefault="4C61F28C" w:rsidP="7735F427">
      <w:pPr>
        <w:pBdr>
          <w:bottom w:val="single" w:sz="12" w:space="1" w:color="000000"/>
        </w:pBdr>
        <w:spacing w:after="120"/>
        <w:jc w:val="both"/>
        <w:rPr>
          <w:rFonts w:ascii="Calibri" w:hAnsi="Calibri" w:cs="Calibri"/>
          <w:sz w:val="22"/>
          <w:szCs w:val="22"/>
        </w:rPr>
      </w:pPr>
      <w:r w:rsidRPr="7735F427">
        <w:rPr>
          <w:rFonts w:ascii="Calibri" w:hAnsi="Calibri" w:cs="Calibri"/>
          <w:sz w:val="22"/>
          <w:szCs w:val="22"/>
        </w:rPr>
        <w:t>Date:</w:t>
      </w:r>
      <w:r>
        <w:tab/>
      </w:r>
      <w:r w:rsidR="000A1B2D" w:rsidRPr="7735F427">
        <w:rPr>
          <w:rFonts w:ascii="Calibri" w:hAnsi="Calibri" w:cs="Calibri"/>
          <w:sz w:val="22"/>
          <w:szCs w:val="22"/>
        </w:rPr>
        <w:t xml:space="preserve">May </w:t>
      </w:r>
      <w:r w:rsidR="00E710A6" w:rsidRPr="00E710A6">
        <w:rPr>
          <w:rFonts w:ascii="Calibri" w:hAnsi="Calibri" w:cs="Calibri"/>
          <w:sz w:val="22"/>
          <w:szCs w:val="22"/>
        </w:rPr>
        <w:t>26</w:t>
      </w:r>
      <w:r w:rsidR="007319C4" w:rsidRPr="00E710A6">
        <w:rPr>
          <w:rFonts w:ascii="Calibri" w:hAnsi="Calibri" w:cs="Calibri"/>
          <w:sz w:val="22"/>
          <w:szCs w:val="22"/>
        </w:rPr>
        <w:t>, 202</w:t>
      </w:r>
      <w:r w:rsidR="000A1B2D" w:rsidRPr="00E710A6">
        <w:rPr>
          <w:rFonts w:ascii="Calibri" w:hAnsi="Calibri" w:cs="Calibri"/>
          <w:sz w:val="22"/>
          <w:szCs w:val="22"/>
        </w:rPr>
        <w:t>6</w:t>
      </w:r>
    </w:p>
    <w:p w14:paraId="325CA51B" w14:textId="65BCA123" w:rsidR="00005F75" w:rsidRDefault="00005F75" w:rsidP="00F07D28">
      <w:pPr>
        <w:pStyle w:val="BodyText2"/>
        <w:tabs>
          <w:tab w:val="right" w:pos="360"/>
          <w:tab w:val="left" w:pos="720"/>
        </w:tabs>
        <w:spacing w:after="120"/>
        <w:jc w:val="both"/>
        <w:rPr>
          <w:rFonts w:ascii="Calibri" w:hAnsi="Calibri" w:cs="Calibri"/>
          <w:sz w:val="22"/>
          <w:szCs w:val="22"/>
        </w:rPr>
      </w:pPr>
      <w:r>
        <w:rPr>
          <w:rFonts w:ascii="Calibri" w:hAnsi="Calibri" w:cs="Calibri"/>
          <w:sz w:val="22"/>
          <w:szCs w:val="22"/>
        </w:rPr>
        <w:t xml:space="preserve">On March 24, 2026, the Invested Assets (E) Task Force heard a presentation from Neuberger Berman about the growing exposure to residential mortgage loans within insurance portfolios, including variants of mortgage loans and potential ways to consider the various risks. Subsequently, </w:t>
      </w:r>
      <w:r w:rsidR="00140902">
        <w:rPr>
          <w:rFonts w:ascii="Calibri" w:hAnsi="Calibri" w:cs="Calibri"/>
          <w:sz w:val="22"/>
          <w:szCs w:val="22"/>
        </w:rPr>
        <w:t xml:space="preserve">and in accordance with its </w:t>
      </w:r>
      <w:r w:rsidR="00C00AF6">
        <w:rPr>
          <w:rFonts w:ascii="Calibri" w:hAnsi="Calibri" w:cs="Calibri"/>
          <w:sz w:val="22"/>
          <w:szCs w:val="22"/>
        </w:rPr>
        <w:t>2026 agenda</w:t>
      </w:r>
      <w:r w:rsidR="00140902">
        <w:rPr>
          <w:rFonts w:ascii="Calibri" w:hAnsi="Calibri" w:cs="Calibri"/>
          <w:sz w:val="22"/>
          <w:szCs w:val="22"/>
        </w:rPr>
        <w:t xml:space="preserve">, </w:t>
      </w:r>
      <w:r>
        <w:rPr>
          <w:rFonts w:ascii="Calibri" w:hAnsi="Calibri" w:cs="Calibri"/>
          <w:sz w:val="22"/>
          <w:szCs w:val="22"/>
        </w:rPr>
        <w:t>the Investment Analysis (E) Working Group reviewed current residential mortgage loan exposure among insurers, noting the following:</w:t>
      </w:r>
    </w:p>
    <w:p w14:paraId="6CCCA121" w14:textId="7653C67D" w:rsidR="00005F75" w:rsidRDefault="00005F75" w:rsidP="00005F75">
      <w:pPr>
        <w:pStyle w:val="BodyText2"/>
        <w:numPr>
          <w:ilvl w:val="0"/>
          <w:numId w:val="24"/>
        </w:numPr>
        <w:tabs>
          <w:tab w:val="right" w:pos="360"/>
          <w:tab w:val="left" w:pos="720"/>
        </w:tabs>
        <w:spacing w:after="120"/>
        <w:jc w:val="both"/>
        <w:rPr>
          <w:rFonts w:ascii="Calibri" w:hAnsi="Calibri" w:cs="Calibri"/>
          <w:sz w:val="22"/>
          <w:szCs w:val="22"/>
        </w:rPr>
      </w:pPr>
      <w:r>
        <w:rPr>
          <w:rFonts w:ascii="Calibri" w:hAnsi="Calibri" w:cs="Calibri"/>
          <w:sz w:val="22"/>
          <w:szCs w:val="22"/>
        </w:rPr>
        <w:t xml:space="preserve">Residential mortgage loan exposure </w:t>
      </w:r>
      <w:r w:rsidR="00EF44AC">
        <w:rPr>
          <w:rFonts w:ascii="Calibri" w:hAnsi="Calibri" w:cs="Calibri"/>
          <w:sz w:val="22"/>
          <w:szCs w:val="22"/>
        </w:rPr>
        <w:t xml:space="preserve">has grown consistently and rapidly since 2021, </w:t>
      </w:r>
      <w:r>
        <w:rPr>
          <w:rFonts w:ascii="Calibri" w:hAnsi="Calibri" w:cs="Calibri"/>
          <w:sz w:val="22"/>
          <w:szCs w:val="22"/>
        </w:rPr>
        <w:t>particularly among life insurers, averaging 36.3%</w:t>
      </w:r>
      <w:r w:rsidR="00EF44AC">
        <w:rPr>
          <w:rFonts w:ascii="Calibri" w:hAnsi="Calibri" w:cs="Calibri"/>
          <w:sz w:val="22"/>
          <w:szCs w:val="22"/>
        </w:rPr>
        <w:t xml:space="preserve"> annual growth</w:t>
      </w:r>
      <w:r>
        <w:rPr>
          <w:rFonts w:ascii="Calibri" w:hAnsi="Calibri" w:cs="Calibri"/>
          <w:sz w:val="22"/>
          <w:szCs w:val="22"/>
        </w:rPr>
        <w:t xml:space="preserve"> </w:t>
      </w:r>
      <w:r w:rsidR="00EF44AC">
        <w:rPr>
          <w:rFonts w:ascii="Calibri" w:hAnsi="Calibri" w:cs="Calibri"/>
          <w:sz w:val="22"/>
          <w:szCs w:val="22"/>
        </w:rPr>
        <w:t xml:space="preserve">in that time period </w:t>
      </w:r>
      <w:r>
        <w:rPr>
          <w:rFonts w:ascii="Calibri" w:hAnsi="Calibri" w:cs="Calibri"/>
          <w:sz w:val="22"/>
          <w:szCs w:val="22"/>
        </w:rPr>
        <w:t>(37.1% for just Life companies)</w:t>
      </w:r>
      <w:r w:rsidR="00E20E06">
        <w:rPr>
          <w:rFonts w:ascii="Calibri" w:hAnsi="Calibri" w:cs="Calibri"/>
          <w:sz w:val="22"/>
          <w:szCs w:val="22"/>
        </w:rPr>
        <w:t>.</w:t>
      </w:r>
    </w:p>
    <w:p w14:paraId="30F37DC2" w14:textId="3B575228" w:rsidR="00005F75" w:rsidRDefault="00005F75" w:rsidP="00005F75">
      <w:pPr>
        <w:pStyle w:val="BodyText2"/>
        <w:numPr>
          <w:ilvl w:val="0"/>
          <w:numId w:val="24"/>
        </w:numPr>
        <w:tabs>
          <w:tab w:val="right" w:pos="360"/>
          <w:tab w:val="left" w:pos="720"/>
        </w:tabs>
        <w:spacing w:after="120"/>
        <w:jc w:val="both"/>
        <w:rPr>
          <w:rFonts w:ascii="Calibri" w:hAnsi="Calibri" w:cs="Calibri"/>
          <w:sz w:val="22"/>
          <w:szCs w:val="22"/>
        </w:rPr>
      </w:pPr>
      <w:r>
        <w:rPr>
          <w:rFonts w:ascii="Calibri" w:hAnsi="Calibri" w:cs="Calibri"/>
          <w:sz w:val="22"/>
          <w:szCs w:val="22"/>
        </w:rPr>
        <w:t xml:space="preserve">Exposure growth as a percentage of invested assets has become material as well, with several insurers </w:t>
      </w:r>
      <w:r w:rsidR="009F19D4">
        <w:rPr>
          <w:rFonts w:ascii="Calibri" w:hAnsi="Calibri" w:cs="Calibri"/>
          <w:sz w:val="22"/>
          <w:szCs w:val="22"/>
        </w:rPr>
        <w:t>having</w:t>
      </w:r>
      <w:r>
        <w:rPr>
          <w:rFonts w:ascii="Calibri" w:hAnsi="Calibri" w:cs="Calibri"/>
          <w:sz w:val="22"/>
          <w:szCs w:val="22"/>
        </w:rPr>
        <w:t xml:space="preserve"> over 10% of their portfolio invested in residential mortgage loans</w:t>
      </w:r>
      <w:r w:rsidR="00E20E06">
        <w:rPr>
          <w:rFonts w:ascii="Calibri" w:hAnsi="Calibri" w:cs="Calibri"/>
          <w:sz w:val="22"/>
          <w:szCs w:val="22"/>
        </w:rPr>
        <w:t>.</w:t>
      </w:r>
    </w:p>
    <w:p w14:paraId="3AF7887C" w14:textId="0EAE3E6C" w:rsidR="00005F75" w:rsidRDefault="00005F75" w:rsidP="00005F75">
      <w:pPr>
        <w:pStyle w:val="BodyText2"/>
        <w:numPr>
          <w:ilvl w:val="0"/>
          <w:numId w:val="24"/>
        </w:numPr>
        <w:tabs>
          <w:tab w:val="right" w:pos="360"/>
          <w:tab w:val="left" w:pos="720"/>
        </w:tabs>
        <w:spacing w:after="120"/>
        <w:jc w:val="both"/>
        <w:rPr>
          <w:rFonts w:ascii="Calibri" w:hAnsi="Calibri" w:cs="Calibri"/>
          <w:sz w:val="22"/>
          <w:szCs w:val="22"/>
        </w:rPr>
      </w:pPr>
      <w:r>
        <w:rPr>
          <w:rFonts w:ascii="Calibri" w:hAnsi="Calibri" w:cs="Calibri"/>
          <w:sz w:val="22"/>
          <w:szCs w:val="22"/>
        </w:rPr>
        <w:t>Some insurers hold individual high balance</w:t>
      </w:r>
      <w:r w:rsidR="00F90E9F">
        <w:rPr>
          <w:rFonts w:ascii="Calibri" w:hAnsi="Calibri" w:cs="Calibri"/>
          <w:sz w:val="22"/>
          <w:szCs w:val="22"/>
        </w:rPr>
        <w:t>*</w:t>
      </w:r>
      <w:r>
        <w:rPr>
          <w:rFonts w:ascii="Calibri" w:hAnsi="Calibri" w:cs="Calibri"/>
          <w:sz w:val="22"/>
          <w:szCs w:val="22"/>
        </w:rPr>
        <w:t xml:space="preserve"> residential mortgage loans, with 129 individual loans with balances over $50 million</w:t>
      </w:r>
      <w:r w:rsidR="002D449E">
        <w:rPr>
          <w:rFonts w:ascii="Calibri" w:hAnsi="Calibri" w:cs="Calibri"/>
          <w:sz w:val="22"/>
          <w:szCs w:val="22"/>
        </w:rPr>
        <w:t xml:space="preserve">. These high balance loans </w:t>
      </w:r>
      <w:r w:rsidR="008C287D">
        <w:rPr>
          <w:rFonts w:ascii="Calibri" w:hAnsi="Calibri" w:cs="Calibri"/>
          <w:sz w:val="22"/>
          <w:szCs w:val="22"/>
        </w:rPr>
        <w:t>constitute</w:t>
      </w:r>
      <w:r w:rsidR="002D449E">
        <w:rPr>
          <w:rFonts w:ascii="Calibri" w:hAnsi="Calibri" w:cs="Calibri"/>
          <w:sz w:val="22"/>
          <w:szCs w:val="22"/>
        </w:rPr>
        <w:t xml:space="preserve"> approximately 15% of all residential mortgage loans</w:t>
      </w:r>
      <w:r w:rsidR="00E20E06">
        <w:rPr>
          <w:rFonts w:ascii="Calibri" w:hAnsi="Calibri" w:cs="Calibri"/>
          <w:sz w:val="22"/>
          <w:szCs w:val="22"/>
        </w:rPr>
        <w:t>.</w:t>
      </w:r>
    </w:p>
    <w:p w14:paraId="12DECE09" w14:textId="5D97CF8E" w:rsidR="002D449E" w:rsidRDefault="002D449E" w:rsidP="00005F75">
      <w:pPr>
        <w:pStyle w:val="BodyText2"/>
        <w:numPr>
          <w:ilvl w:val="0"/>
          <w:numId w:val="24"/>
        </w:numPr>
        <w:tabs>
          <w:tab w:val="right" w:pos="360"/>
          <w:tab w:val="left" w:pos="720"/>
        </w:tabs>
        <w:spacing w:after="120"/>
        <w:jc w:val="both"/>
        <w:rPr>
          <w:rFonts w:ascii="Calibri" w:hAnsi="Calibri" w:cs="Calibri"/>
          <w:sz w:val="22"/>
          <w:szCs w:val="22"/>
        </w:rPr>
      </w:pPr>
      <w:r>
        <w:rPr>
          <w:rFonts w:ascii="Calibri" w:hAnsi="Calibri" w:cs="Calibri"/>
          <w:sz w:val="22"/>
          <w:szCs w:val="22"/>
        </w:rPr>
        <w:t>Many list the location as “various” or “multiple”, which limits the ability to assess the geographical exposure of the loans</w:t>
      </w:r>
      <w:r w:rsidR="00C17A69">
        <w:rPr>
          <w:rFonts w:ascii="Calibri" w:hAnsi="Calibri" w:cs="Calibri"/>
          <w:sz w:val="22"/>
          <w:szCs w:val="22"/>
        </w:rPr>
        <w:t xml:space="preserve"> or evaluate loans on an individual loan basis</w:t>
      </w:r>
      <w:r w:rsidR="00E20E06">
        <w:rPr>
          <w:rFonts w:ascii="Calibri" w:hAnsi="Calibri" w:cs="Calibri"/>
          <w:sz w:val="22"/>
          <w:szCs w:val="22"/>
        </w:rPr>
        <w:t>.</w:t>
      </w:r>
    </w:p>
    <w:p w14:paraId="41653519" w14:textId="0AE5FBEC" w:rsidR="00005F75" w:rsidRDefault="002D449E" w:rsidP="00005F75">
      <w:pPr>
        <w:pStyle w:val="BodyText2"/>
        <w:numPr>
          <w:ilvl w:val="0"/>
          <w:numId w:val="24"/>
        </w:numPr>
        <w:tabs>
          <w:tab w:val="right" w:pos="360"/>
          <w:tab w:val="left" w:pos="720"/>
        </w:tabs>
        <w:spacing w:after="120"/>
        <w:jc w:val="both"/>
        <w:rPr>
          <w:rFonts w:ascii="Calibri" w:hAnsi="Calibri" w:cs="Calibri"/>
          <w:sz w:val="22"/>
          <w:szCs w:val="22"/>
        </w:rPr>
      </w:pPr>
      <w:r>
        <w:rPr>
          <w:rFonts w:ascii="Calibri" w:hAnsi="Calibri" w:cs="Calibri"/>
          <w:sz w:val="22"/>
          <w:szCs w:val="22"/>
        </w:rPr>
        <w:t xml:space="preserve">Current reporting requirements lack granularity to highlight potential key characteristics of residential mortgage loans, including identification of non-first lien loans, whether the residencies are owner occupied or investment properties, or </w:t>
      </w:r>
      <w:r w:rsidR="003E2BE6">
        <w:rPr>
          <w:rFonts w:ascii="Calibri" w:hAnsi="Calibri" w:cs="Calibri"/>
          <w:sz w:val="22"/>
          <w:szCs w:val="22"/>
        </w:rPr>
        <w:t>loan-to-value (</w:t>
      </w:r>
      <w:r>
        <w:rPr>
          <w:rFonts w:ascii="Calibri" w:hAnsi="Calibri" w:cs="Calibri"/>
          <w:sz w:val="22"/>
          <w:szCs w:val="22"/>
        </w:rPr>
        <w:t>LTV</w:t>
      </w:r>
      <w:r w:rsidR="003E2BE6">
        <w:rPr>
          <w:rFonts w:ascii="Calibri" w:hAnsi="Calibri" w:cs="Calibri"/>
          <w:sz w:val="22"/>
          <w:szCs w:val="22"/>
        </w:rPr>
        <w:t>)</w:t>
      </w:r>
      <w:r>
        <w:rPr>
          <w:rFonts w:ascii="Calibri" w:hAnsi="Calibri" w:cs="Calibri"/>
          <w:sz w:val="22"/>
          <w:szCs w:val="22"/>
        </w:rPr>
        <w:t xml:space="preserve"> metrics, among others.</w:t>
      </w:r>
    </w:p>
    <w:p w14:paraId="597C79D2" w14:textId="7747E9A9" w:rsidR="002D449E" w:rsidRDefault="002D449E" w:rsidP="00005F75">
      <w:pPr>
        <w:pStyle w:val="BodyText2"/>
        <w:numPr>
          <w:ilvl w:val="0"/>
          <w:numId w:val="24"/>
        </w:numPr>
        <w:tabs>
          <w:tab w:val="right" w:pos="360"/>
          <w:tab w:val="left" w:pos="720"/>
        </w:tabs>
        <w:spacing w:after="120"/>
        <w:jc w:val="both"/>
        <w:rPr>
          <w:rFonts w:ascii="Calibri" w:hAnsi="Calibri" w:cs="Calibri"/>
          <w:sz w:val="22"/>
          <w:szCs w:val="22"/>
        </w:rPr>
      </w:pPr>
      <w:r>
        <w:rPr>
          <w:rFonts w:ascii="Calibri" w:hAnsi="Calibri" w:cs="Calibri"/>
          <w:sz w:val="22"/>
          <w:szCs w:val="22"/>
        </w:rPr>
        <w:t xml:space="preserve">Despite </w:t>
      </w:r>
      <w:r w:rsidR="0084525F">
        <w:rPr>
          <w:rFonts w:ascii="Calibri" w:hAnsi="Calibri" w:cs="Calibri"/>
          <w:sz w:val="22"/>
          <w:szCs w:val="22"/>
        </w:rPr>
        <w:t>possessing</w:t>
      </w:r>
      <w:r>
        <w:rPr>
          <w:rFonts w:ascii="Calibri" w:hAnsi="Calibri" w:cs="Calibri"/>
          <w:sz w:val="22"/>
          <w:szCs w:val="22"/>
        </w:rPr>
        <w:t xml:space="preserve"> varying characteristics, residential mortgage loans are assigned a </w:t>
      </w:r>
      <w:r w:rsidR="0084525F">
        <w:rPr>
          <w:rFonts w:ascii="Calibri" w:hAnsi="Calibri" w:cs="Calibri"/>
          <w:sz w:val="22"/>
          <w:szCs w:val="22"/>
        </w:rPr>
        <w:t>68-basis</w:t>
      </w:r>
      <w:r>
        <w:rPr>
          <w:rFonts w:ascii="Calibri" w:hAnsi="Calibri" w:cs="Calibri"/>
          <w:sz w:val="22"/>
          <w:szCs w:val="22"/>
        </w:rPr>
        <w:t xml:space="preserve"> points capital charge for Life insurers, without risk sensitivity to underlying factors. Additionally, this factor was established </w:t>
      </w:r>
      <w:r w:rsidR="00CE6044">
        <w:rPr>
          <w:rFonts w:ascii="Calibri" w:hAnsi="Calibri" w:cs="Calibri"/>
          <w:sz w:val="22"/>
          <w:szCs w:val="22"/>
        </w:rPr>
        <w:t>using pre-CM framework commercial mortgage loan factors as an anchor point</w:t>
      </w:r>
      <w:r w:rsidR="002E2607">
        <w:rPr>
          <w:rFonts w:ascii="Calibri" w:hAnsi="Calibri" w:cs="Calibri"/>
          <w:sz w:val="22"/>
          <w:szCs w:val="22"/>
        </w:rPr>
        <w:t xml:space="preserve"> without any calibration to RML-specific data</w:t>
      </w:r>
      <w:r w:rsidR="00E710A6">
        <w:rPr>
          <w:rFonts w:ascii="Calibri" w:hAnsi="Calibri" w:cs="Calibri"/>
          <w:sz w:val="22"/>
          <w:szCs w:val="22"/>
        </w:rPr>
        <w:t>.</w:t>
      </w:r>
    </w:p>
    <w:p w14:paraId="7C7FC63F" w14:textId="3DB25000" w:rsidR="00D212C2" w:rsidRPr="00F90E9F" w:rsidRDefault="00D212C2" w:rsidP="00F07D28">
      <w:pPr>
        <w:pStyle w:val="BodyText2"/>
        <w:tabs>
          <w:tab w:val="right" w:pos="360"/>
          <w:tab w:val="left" w:pos="720"/>
        </w:tabs>
        <w:spacing w:after="120"/>
        <w:jc w:val="both"/>
        <w:rPr>
          <w:rFonts w:ascii="Calibri" w:hAnsi="Calibri" w:cs="Calibri"/>
          <w:sz w:val="20"/>
        </w:rPr>
      </w:pPr>
      <w:r w:rsidRPr="00F90E9F">
        <w:rPr>
          <w:rFonts w:ascii="Calibri" w:hAnsi="Calibri" w:cs="Calibri"/>
          <w:sz w:val="20"/>
        </w:rPr>
        <w:t>*</w:t>
      </w:r>
      <w:r w:rsidR="003315C8" w:rsidRPr="00F90E9F">
        <w:rPr>
          <w:rFonts w:ascii="Calibri" w:hAnsi="Calibri" w:cs="Calibri"/>
          <w:sz w:val="20"/>
        </w:rPr>
        <w:t>Subsequent to the Investment Analysis (E) Working Group discussion, it has been determined that some of the large balances may be due to aggregation in reporting, driven by reporting limitations within Schedule B—Mortgage Loans. Currently, Schedule B has a limit of 99,995 rows, thus requiring consolidated reporting in instances where an insurer holds additional individual mortgage loans.</w:t>
      </w:r>
    </w:p>
    <w:p w14:paraId="5DB80D57" w14:textId="0834ED61" w:rsidR="00005F75" w:rsidRDefault="002D449E" w:rsidP="00F07D28">
      <w:pPr>
        <w:pStyle w:val="BodyText2"/>
        <w:tabs>
          <w:tab w:val="right" w:pos="360"/>
          <w:tab w:val="left" w:pos="720"/>
        </w:tabs>
        <w:spacing w:after="120"/>
        <w:jc w:val="both"/>
        <w:rPr>
          <w:rFonts w:ascii="Calibri" w:hAnsi="Calibri" w:cs="Calibri"/>
          <w:sz w:val="22"/>
          <w:szCs w:val="22"/>
        </w:rPr>
      </w:pPr>
      <w:r w:rsidRPr="697C5877">
        <w:rPr>
          <w:rFonts w:ascii="Calibri" w:hAnsi="Calibri" w:cs="Calibri"/>
          <w:sz w:val="22"/>
          <w:szCs w:val="22"/>
        </w:rPr>
        <w:t>While these observations are illustrative and not intended to identify specific reporting entities, they highlight areas where additional clarity may be beneficial.</w:t>
      </w:r>
    </w:p>
    <w:p w14:paraId="2F1F40CF" w14:textId="496D7BD8" w:rsidR="002D449E" w:rsidRPr="00F07D28" w:rsidRDefault="002D449E" w:rsidP="002D449E">
      <w:pPr>
        <w:pStyle w:val="BodyText2"/>
        <w:tabs>
          <w:tab w:val="right" w:pos="360"/>
          <w:tab w:val="left" w:pos="720"/>
        </w:tabs>
        <w:spacing w:after="120"/>
        <w:jc w:val="both"/>
        <w:rPr>
          <w:rFonts w:ascii="Calibri" w:hAnsi="Calibri" w:cs="Calibri"/>
          <w:sz w:val="22"/>
          <w:szCs w:val="22"/>
        </w:rPr>
      </w:pPr>
      <w:r w:rsidRPr="00F07D28">
        <w:rPr>
          <w:rFonts w:ascii="Calibri" w:hAnsi="Calibri" w:cs="Calibri"/>
          <w:sz w:val="22"/>
          <w:szCs w:val="22"/>
        </w:rPr>
        <w:t xml:space="preserve">The lack of a clearly defined boundary between </w:t>
      </w:r>
      <w:r>
        <w:rPr>
          <w:rFonts w:ascii="Calibri" w:hAnsi="Calibri" w:cs="Calibri"/>
          <w:sz w:val="22"/>
          <w:szCs w:val="22"/>
        </w:rPr>
        <w:t xml:space="preserve">traditional </w:t>
      </w:r>
      <w:r w:rsidRPr="00F07D28">
        <w:rPr>
          <w:rFonts w:ascii="Calibri" w:hAnsi="Calibri" w:cs="Calibri"/>
          <w:sz w:val="22"/>
          <w:szCs w:val="22"/>
        </w:rPr>
        <w:t>residential and</w:t>
      </w:r>
      <w:r>
        <w:rPr>
          <w:rFonts w:ascii="Calibri" w:hAnsi="Calibri" w:cs="Calibri"/>
          <w:sz w:val="22"/>
          <w:szCs w:val="22"/>
        </w:rPr>
        <w:t xml:space="preserve"> other loan types currently classified </w:t>
      </w:r>
      <w:r w:rsidR="0098288B">
        <w:rPr>
          <w:rFonts w:ascii="Calibri" w:hAnsi="Calibri" w:cs="Calibri"/>
          <w:sz w:val="22"/>
          <w:szCs w:val="22"/>
        </w:rPr>
        <w:t>as residential</w:t>
      </w:r>
      <w:r>
        <w:rPr>
          <w:rFonts w:ascii="Calibri" w:hAnsi="Calibri" w:cs="Calibri"/>
          <w:sz w:val="22"/>
          <w:szCs w:val="22"/>
        </w:rPr>
        <w:t xml:space="preserve"> mortgage loans, that may exhibit significantly different risk characteristics, intr</w:t>
      </w:r>
      <w:r w:rsidRPr="00F07D28">
        <w:rPr>
          <w:rFonts w:ascii="Calibri" w:hAnsi="Calibri" w:cs="Calibri"/>
          <w:sz w:val="22"/>
          <w:szCs w:val="22"/>
        </w:rPr>
        <w:t xml:space="preserve">oduces potential inconsistency in reporting and may result in classification outcomes that do not fully align with the underlying economic risk of the exposure. </w:t>
      </w:r>
      <w:r>
        <w:rPr>
          <w:rFonts w:ascii="Calibri" w:hAnsi="Calibri" w:cs="Calibri"/>
          <w:sz w:val="22"/>
          <w:szCs w:val="22"/>
        </w:rPr>
        <w:t>C</w:t>
      </w:r>
      <w:r w:rsidRPr="00F07D28">
        <w:rPr>
          <w:rFonts w:ascii="Calibri" w:hAnsi="Calibri" w:cs="Calibri"/>
          <w:sz w:val="22"/>
          <w:szCs w:val="22"/>
        </w:rPr>
        <w:t>ertain large multi-unit or development-type properties</w:t>
      </w:r>
      <w:r>
        <w:rPr>
          <w:rFonts w:ascii="Calibri" w:hAnsi="Calibri" w:cs="Calibri"/>
          <w:sz w:val="22"/>
          <w:szCs w:val="22"/>
        </w:rPr>
        <w:t xml:space="preserve">, </w:t>
      </w:r>
      <w:r w:rsidRPr="00F07D28">
        <w:rPr>
          <w:rFonts w:ascii="Calibri" w:hAnsi="Calibri" w:cs="Calibri"/>
          <w:sz w:val="22"/>
          <w:szCs w:val="22"/>
        </w:rPr>
        <w:t>while potentially meeting informal or structural interpretations of residential</w:t>
      </w:r>
      <w:r>
        <w:rPr>
          <w:rFonts w:ascii="Calibri" w:hAnsi="Calibri" w:cs="Calibri"/>
          <w:sz w:val="22"/>
          <w:szCs w:val="22"/>
        </w:rPr>
        <w:t xml:space="preserve">, </w:t>
      </w:r>
      <w:r w:rsidRPr="00F07D28">
        <w:rPr>
          <w:rFonts w:ascii="Calibri" w:hAnsi="Calibri" w:cs="Calibri"/>
          <w:sz w:val="22"/>
          <w:szCs w:val="22"/>
        </w:rPr>
        <w:t>may exhibit risk characteristics more consistent with commercial real estate lending, including higher vacancy risk, reliance on projected cash flows, and sensitivity to market conditions.</w:t>
      </w:r>
    </w:p>
    <w:p w14:paraId="5D0603C3" w14:textId="6B45BE87" w:rsidR="002D449E" w:rsidRDefault="002D449E" w:rsidP="002D449E">
      <w:pPr>
        <w:pStyle w:val="BodyText2"/>
        <w:tabs>
          <w:tab w:val="right" w:pos="360"/>
          <w:tab w:val="left" w:pos="720"/>
        </w:tabs>
        <w:spacing w:after="120"/>
        <w:jc w:val="both"/>
        <w:rPr>
          <w:rFonts w:ascii="Calibri" w:hAnsi="Calibri" w:cs="Calibri"/>
          <w:sz w:val="22"/>
          <w:szCs w:val="22"/>
        </w:rPr>
      </w:pPr>
      <w:r w:rsidRPr="697C5877">
        <w:rPr>
          <w:rFonts w:ascii="Calibri" w:hAnsi="Calibri" w:cs="Calibri"/>
          <w:sz w:val="22"/>
          <w:szCs w:val="22"/>
        </w:rPr>
        <w:lastRenderedPageBreak/>
        <w:t xml:space="preserve">These classification considerations have implications for </w:t>
      </w:r>
      <w:r>
        <w:rPr>
          <w:rFonts w:ascii="Calibri" w:hAnsi="Calibri" w:cs="Calibri"/>
          <w:sz w:val="22"/>
          <w:szCs w:val="22"/>
        </w:rPr>
        <w:t>r</w:t>
      </w:r>
      <w:r w:rsidRPr="697C5877">
        <w:rPr>
          <w:rFonts w:ascii="Calibri" w:hAnsi="Calibri" w:cs="Calibri"/>
          <w:sz w:val="22"/>
          <w:szCs w:val="22"/>
        </w:rPr>
        <w:t>isk-</w:t>
      </w:r>
      <w:r>
        <w:rPr>
          <w:rFonts w:ascii="Calibri" w:hAnsi="Calibri" w:cs="Calibri"/>
          <w:sz w:val="22"/>
          <w:szCs w:val="22"/>
        </w:rPr>
        <w:t>b</w:t>
      </w:r>
      <w:r w:rsidRPr="697C5877">
        <w:rPr>
          <w:rFonts w:ascii="Calibri" w:hAnsi="Calibri" w:cs="Calibri"/>
          <w:sz w:val="22"/>
          <w:szCs w:val="22"/>
        </w:rPr>
        <w:t xml:space="preserve">ased </w:t>
      </w:r>
      <w:r>
        <w:rPr>
          <w:rFonts w:ascii="Calibri" w:hAnsi="Calibri" w:cs="Calibri"/>
          <w:sz w:val="22"/>
          <w:szCs w:val="22"/>
        </w:rPr>
        <w:t>c</w:t>
      </w:r>
      <w:r w:rsidRPr="697C5877">
        <w:rPr>
          <w:rFonts w:ascii="Calibri" w:hAnsi="Calibri" w:cs="Calibri"/>
          <w:sz w:val="22"/>
          <w:szCs w:val="22"/>
        </w:rPr>
        <w:t xml:space="preserve">apital (RBC), </w:t>
      </w:r>
      <w:r w:rsidR="0098288B">
        <w:rPr>
          <w:rFonts w:ascii="Calibri" w:hAnsi="Calibri" w:cs="Calibri"/>
          <w:sz w:val="22"/>
          <w:szCs w:val="22"/>
        </w:rPr>
        <w:t xml:space="preserve">because </w:t>
      </w:r>
      <w:r w:rsidRPr="697C5877">
        <w:rPr>
          <w:rFonts w:ascii="Calibri" w:hAnsi="Calibri" w:cs="Calibri"/>
          <w:sz w:val="22"/>
          <w:szCs w:val="22"/>
        </w:rPr>
        <w:t>residential mortgage loans are subject to materially lower RBC factors than commercial mortgage loans. Accordingly, classification as residential may result in lower capital requirements for exposures that may present elevated or differing risk profiles. This dynamic may introduce opportunities for inconsistent treatment or unintended capital outcomes if not addressed through refined guidance.</w:t>
      </w:r>
    </w:p>
    <w:p w14:paraId="2F9A0B11" w14:textId="44782754" w:rsidR="002E2607" w:rsidRPr="00F07D28" w:rsidRDefault="002E2607" w:rsidP="002D449E">
      <w:pPr>
        <w:pStyle w:val="BodyText2"/>
        <w:tabs>
          <w:tab w:val="right" w:pos="360"/>
          <w:tab w:val="left" w:pos="720"/>
        </w:tabs>
        <w:spacing w:after="120"/>
        <w:jc w:val="both"/>
        <w:rPr>
          <w:rFonts w:ascii="Calibri" w:hAnsi="Calibri" w:cs="Calibri"/>
          <w:sz w:val="22"/>
          <w:szCs w:val="22"/>
        </w:rPr>
      </w:pPr>
      <w:r>
        <w:rPr>
          <w:rFonts w:ascii="Calibri" w:hAnsi="Calibri" w:cs="Calibri"/>
          <w:sz w:val="22"/>
          <w:szCs w:val="22"/>
        </w:rPr>
        <w:t xml:space="preserve">For loans that are clearly residential in nature, the current investing spectrum could introduce specific risks that may warrant additional disclosure and RBC considerations, including varying LTV levels, varying borrower credit quality (FICO scores), whether owner occupied or for investment purposes, </w:t>
      </w:r>
      <w:proofErr w:type="spellStart"/>
      <w:r>
        <w:rPr>
          <w:rFonts w:ascii="Calibri" w:hAnsi="Calibri" w:cs="Calibri"/>
          <w:sz w:val="22"/>
          <w:szCs w:val="22"/>
        </w:rPr>
        <w:t>non first</w:t>
      </w:r>
      <w:proofErr w:type="spellEnd"/>
      <w:r>
        <w:rPr>
          <w:rFonts w:ascii="Calibri" w:hAnsi="Calibri" w:cs="Calibri"/>
          <w:sz w:val="22"/>
          <w:szCs w:val="22"/>
        </w:rPr>
        <w:t>-lien loans, construction loans, HELOCs, bridge loans, among others.</w:t>
      </w:r>
    </w:p>
    <w:p w14:paraId="4ACB4361" w14:textId="77777777" w:rsidR="002D449E" w:rsidRPr="00F07D28" w:rsidRDefault="002D449E" w:rsidP="002D449E">
      <w:pPr>
        <w:pStyle w:val="BodyText2"/>
        <w:tabs>
          <w:tab w:val="right" w:pos="360"/>
          <w:tab w:val="left" w:pos="720"/>
        </w:tabs>
        <w:spacing w:after="120"/>
        <w:jc w:val="both"/>
        <w:rPr>
          <w:rFonts w:ascii="Calibri" w:hAnsi="Calibri" w:cs="Calibri"/>
          <w:sz w:val="22"/>
          <w:szCs w:val="22"/>
        </w:rPr>
      </w:pPr>
      <w:r w:rsidRPr="00F07D28">
        <w:rPr>
          <w:rFonts w:ascii="Calibri" w:hAnsi="Calibri" w:cs="Calibri"/>
          <w:sz w:val="22"/>
          <w:szCs w:val="22"/>
        </w:rPr>
        <w:t>Additionally, broader considerations related to concentration risk may warrant attention. Insurers with significant allocations to residential mortgage loans</w:t>
      </w:r>
      <w:r>
        <w:rPr>
          <w:rFonts w:ascii="Calibri" w:hAnsi="Calibri" w:cs="Calibri"/>
          <w:sz w:val="22"/>
          <w:szCs w:val="22"/>
        </w:rPr>
        <w:t xml:space="preserve">, </w:t>
      </w:r>
      <w:r w:rsidRPr="00F07D28">
        <w:rPr>
          <w:rFonts w:ascii="Calibri" w:hAnsi="Calibri" w:cs="Calibri"/>
          <w:sz w:val="22"/>
          <w:szCs w:val="22"/>
        </w:rPr>
        <w:t>particularly where such exposures include large or non-traditional assets</w:t>
      </w:r>
      <w:r>
        <w:rPr>
          <w:rFonts w:ascii="Calibri" w:hAnsi="Calibri" w:cs="Calibri"/>
          <w:sz w:val="22"/>
          <w:szCs w:val="22"/>
        </w:rPr>
        <w:t xml:space="preserve">, </w:t>
      </w:r>
      <w:r w:rsidRPr="00F07D28">
        <w:rPr>
          <w:rFonts w:ascii="Calibri" w:hAnsi="Calibri" w:cs="Calibri"/>
          <w:sz w:val="22"/>
          <w:szCs w:val="22"/>
        </w:rPr>
        <w:t>may face heightened exposure to credit, liquidity, valuation, and interest rate risks. While these considerations extend beyond accounting classification alone, consistent and transparent reporting is foundational to effective regulatory assessment.</w:t>
      </w:r>
    </w:p>
    <w:p w14:paraId="595435CB" w14:textId="7E7A22C3" w:rsidR="002D449E" w:rsidRDefault="002D449E" w:rsidP="002D449E">
      <w:pPr>
        <w:pStyle w:val="BodyText2"/>
        <w:tabs>
          <w:tab w:val="right" w:pos="360"/>
          <w:tab w:val="left" w:pos="720"/>
        </w:tabs>
        <w:spacing w:after="120"/>
        <w:jc w:val="both"/>
        <w:rPr>
          <w:rFonts w:ascii="Calibri" w:hAnsi="Calibri" w:cs="Calibri"/>
          <w:sz w:val="22"/>
          <w:szCs w:val="22"/>
        </w:rPr>
      </w:pPr>
      <w:r w:rsidRPr="00F41700">
        <w:rPr>
          <w:rFonts w:ascii="Calibri" w:hAnsi="Calibri" w:cs="Calibri"/>
          <w:i/>
          <w:iCs/>
          <w:sz w:val="22"/>
          <w:szCs w:val="22"/>
        </w:rPr>
        <w:t>SSAP No. 37</w:t>
      </w:r>
      <w:r w:rsidR="00F41700" w:rsidRPr="00F41700">
        <w:rPr>
          <w:rFonts w:ascii="Calibri" w:hAnsi="Calibri" w:cs="Calibri"/>
          <w:i/>
          <w:iCs/>
          <w:sz w:val="22"/>
          <w:szCs w:val="22"/>
        </w:rPr>
        <w:t>—Mortgage Loans</w:t>
      </w:r>
      <w:r w:rsidRPr="00F07D28">
        <w:rPr>
          <w:rFonts w:ascii="Calibri" w:hAnsi="Calibri" w:cs="Calibri"/>
          <w:sz w:val="22"/>
          <w:szCs w:val="22"/>
        </w:rPr>
        <w:t xml:space="preserve"> establishes the statutory accounting framework for mortgage loans but provides limited explicit guidance distinguishing residential mortgage loans from other mortgage loan types. Industry practice has generally relied on interpretations informed by other NAIC models and guidance</w:t>
      </w:r>
      <w:r>
        <w:rPr>
          <w:rFonts w:ascii="Calibri" w:hAnsi="Calibri" w:cs="Calibri"/>
          <w:sz w:val="22"/>
          <w:szCs w:val="22"/>
        </w:rPr>
        <w:t xml:space="preserve">, </w:t>
      </w:r>
      <w:r w:rsidRPr="00F07D28">
        <w:rPr>
          <w:rFonts w:ascii="Calibri" w:hAnsi="Calibri" w:cs="Calibri"/>
          <w:sz w:val="22"/>
          <w:szCs w:val="22"/>
        </w:rPr>
        <w:t>often centering on one to four</w:t>
      </w:r>
      <w:r>
        <w:rPr>
          <w:rFonts w:ascii="Calibri" w:hAnsi="Calibri" w:cs="Calibri"/>
          <w:sz w:val="22"/>
          <w:szCs w:val="22"/>
        </w:rPr>
        <w:t xml:space="preserve"> </w:t>
      </w:r>
      <w:r w:rsidRPr="00F07D28">
        <w:rPr>
          <w:rFonts w:ascii="Calibri" w:hAnsi="Calibri" w:cs="Calibri"/>
          <w:sz w:val="22"/>
          <w:szCs w:val="22"/>
        </w:rPr>
        <w:t>family residential properties</w:t>
      </w:r>
      <w:r>
        <w:rPr>
          <w:rFonts w:ascii="Calibri" w:hAnsi="Calibri" w:cs="Calibri"/>
          <w:sz w:val="22"/>
          <w:szCs w:val="22"/>
        </w:rPr>
        <w:t xml:space="preserve">, </w:t>
      </w:r>
      <w:r w:rsidRPr="00F07D28">
        <w:rPr>
          <w:rFonts w:ascii="Calibri" w:hAnsi="Calibri" w:cs="Calibri"/>
          <w:sz w:val="22"/>
          <w:szCs w:val="22"/>
        </w:rPr>
        <w:t>but these interpretations are not explicitly codified within SSAP No. 37. As a result, variability in classification may exist, particularly for larger multi-unit, development-oriented, or non-traditional residential exposures.</w:t>
      </w:r>
    </w:p>
    <w:p w14:paraId="28C4DC42" w14:textId="77777777" w:rsidR="002D449E" w:rsidRPr="00F07D28" w:rsidRDefault="002D449E" w:rsidP="002D449E">
      <w:pPr>
        <w:pStyle w:val="BodyText2"/>
        <w:tabs>
          <w:tab w:val="right" w:pos="360"/>
          <w:tab w:val="left" w:pos="720"/>
        </w:tabs>
        <w:spacing w:after="120"/>
        <w:jc w:val="both"/>
        <w:rPr>
          <w:rFonts w:ascii="Calibri" w:hAnsi="Calibri" w:cs="Calibri"/>
          <w:sz w:val="22"/>
          <w:szCs w:val="22"/>
        </w:rPr>
      </w:pPr>
      <w:r w:rsidRPr="00F07D28">
        <w:rPr>
          <w:rFonts w:ascii="Calibri" w:hAnsi="Calibri" w:cs="Calibri"/>
          <w:sz w:val="22"/>
          <w:szCs w:val="22"/>
        </w:rPr>
        <w:t>Given these considerations, this referral requests that the Statutory Accounting Principles (E) Working Group consider whether additional clarification or refinement within SSAP No. 37 is warranted to better define residential mortgage loans and improve consistency in application. Potential areas for consideration may include:</w:t>
      </w:r>
    </w:p>
    <w:p w14:paraId="234285B4" w14:textId="449E12E9" w:rsidR="002D449E" w:rsidRPr="00F07D28" w:rsidRDefault="002D449E" w:rsidP="002D449E">
      <w:pPr>
        <w:pStyle w:val="BodyText2"/>
        <w:numPr>
          <w:ilvl w:val="0"/>
          <w:numId w:val="23"/>
        </w:numPr>
        <w:tabs>
          <w:tab w:val="right" w:pos="360"/>
          <w:tab w:val="left" w:pos="720"/>
        </w:tabs>
        <w:spacing w:after="120"/>
        <w:jc w:val="both"/>
        <w:rPr>
          <w:rFonts w:ascii="Calibri" w:hAnsi="Calibri" w:cs="Calibri"/>
          <w:sz w:val="22"/>
          <w:szCs w:val="22"/>
        </w:rPr>
      </w:pPr>
      <w:r w:rsidRPr="356141E2">
        <w:rPr>
          <w:rFonts w:ascii="Calibri" w:hAnsi="Calibri" w:cs="Calibri"/>
          <w:sz w:val="22"/>
          <w:szCs w:val="22"/>
        </w:rPr>
        <w:t xml:space="preserve">Clarification of the characteristics that distinguish residential mortgage loans from commercial-like or other mortgage loan types, including consideration of property type, scale, and risk attributes. </w:t>
      </w:r>
    </w:p>
    <w:p w14:paraId="4A1006EF" w14:textId="77777777" w:rsidR="002D449E" w:rsidRPr="00F07D28" w:rsidRDefault="002D449E" w:rsidP="002D449E">
      <w:pPr>
        <w:pStyle w:val="BodyText2"/>
        <w:numPr>
          <w:ilvl w:val="0"/>
          <w:numId w:val="23"/>
        </w:numPr>
        <w:tabs>
          <w:tab w:val="right" w:pos="360"/>
          <w:tab w:val="left" w:pos="720"/>
        </w:tabs>
        <w:spacing w:after="120"/>
        <w:jc w:val="both"/>
        <w:rPr>
          <w:rFonts w:ascii="Calibri" w:hAnsi="Calibri" w:cs="Calibri"/>
          <w:sz w:val="22"/>
          <w:szCs w:val="22"/>
        </w:rPr>
      </w:pPr>
      <w:r w:rsidRPr="00F07D28">
        <w:rPr>
          <w:rFonts w:ascii="Calibri" w:hAnsi="Calibri" w:cs="Calibri"/>
          <w:sz w:val="22"/>
          <w:szCs w:val="22"/>
        </w:rPr>
        <w:t xml:space="preserve">Consideration of whether certain large multi-unit, development-stage, or transitional properties should be subject to different classification or disclosure considerations. </w:t>
      </w:r>
    </w:p>
    <w:p w14:paraId="63E6CFAC" w14:textId="08A0F1FF" w:rsidR="002D449E" w:rsidRDefault="002D449E" w:rsidP="002D449E">
      <w:pPr>
        <w:pStyle w:val="BodyText2"/>
        <w:numPr>
          <w:ilvl w:val="0"/>
          <w:numId w:val="23"/>
        </w:numPr>
        <w:tabs>
          <w:tab w:val="right" w:pos="360"/>
          <w:tab w:val="left" w:pos="720"/>
        </w:tabs>
        <w:spacing w:after="120"/>
        <w:jc w:val="both"/>
        <w:rPr>
          <w:rFonts w:ascii="Calibri" w:hAnsi="Calibri" w:cs="Calibri"/>
          <w:sz w:val="22"/>
          <w:szCs w:val="22"/>
        </w:rPr>
      </w:pPr>
      <w:r w:rsidRPr="00F07D28">
        <w:rPr>
          <w:rFonts w:ascii="Calibri" w:hAnsi="Calibri" w:cs="Calibri"/>
          <w:sz w:val="22"/>
          <w:szCs w:val="22"/>
        </w:rPr>
        <w:t xml:space="preserve">Evaluation of whether enhancements to reporting guidance or disclosures </w:t>
      </w:r>
      <w:r w:rsidR="002E2607">
        <w:rPr>
          <w:rFonts w:ascii="Calibri" w:hAnsi="Calibri" w:cs="Calibri"/>
          <w:sz w:val="22"/>
          <w:szCs w:val="22"/>
        </w:rPr>
        <w:t xml:space="preserve">to identify more granular individual loan characteristics </w:t>
      </w:r>
      <w:r w:rsidRPr="00F07D28">
        <w:rPr>
          <w:rFonts w:ascii="Calibri" w:hAnsi="Calibri" w:cs="Calibri"/>
          <w:sz w:val="22"/>
          <w:szCs w:val="22"/>
        </w:rPr>
        <w:t>within Schedule B may improve transparency</w:t>
      </w:r>
      <w:r>
        <w:rPr>
          <w:rFonts w:ascii="Calibri" w:hAnsi="Calibri" w:cs="Calibri"/>
          <w:sz w:val="22"/>
          <w:szCs w:val="22"/>
        </w:rPr>
        <w:t xml:space="preserve">, </w:t>
      </w:r>
      <w:r w:rsidRPr="00F07D28">
        <w:rPr>
          <w:rFonts w:ascii="Calibri" w:hAnsi="Calibri" w:cs="Calibri"/>
          <w:sz w:val="22"/>
          <w:szCs w:val="22"/>
        </w:rPr>
        <w:t>comparability across reporting entities</w:t>
      </w:r>
      <w:r>
        <w:rPr>
          <w:rFonts w:ascii="Calibri" w:hAnsi="Calibri" w:cs="Calibri"/>
          <w:sz w:val="22"/>
          <w:szCs w:val="22"/>
        </w:rPr>
        <w:t>, and individual loan risk-assessment usability by state insurance regulators and users of statutory financial statements</w:t>
      </w:r>
      <w:r w:rsidRPr="00F07D28">
        <w:rPr>
          <w:rFonts w:ascii="Calibri" w:hAnsi="Calibri" w:cs="Calibri"/>
          <w:sz w:val="22"/>
          <w:szCs w:val="22"/>
        </w:rPr>
        <w:t xml:space="preserve">. </w:t>
      </w:r>
    </w:p>
    <w:p w14:paraId="66CF797E" w14:textId="72FE0D91" w:rsidR="002E2607" w:rsidRDefault="002E2607" w:rsidP="002D449E">
      <w:pPr>
        <w:pStyle w:val="BodyText2"/>
        <w:numPr>
          <w:ilvl w:val="0"/>
          <w:numId w:val="23"/>
        </w:numPr>
        <w:tabs>
          <w:tab w:val="right" w:pos="360"/>
          <w:tab w:val="left" w:pos="720"/>
        </w:tabs>
        <w:spacing w:after="120"/>
        <w:jc w:val="both"/>
        <w:rPr>
          <w:rFonts w:ascii="Calibri" w:hAnsi="Calibri" w:cs="Calibri"/>
          <w:sz w:val="22"/>
          <w:szCs w:val="22"/>
        </w:rPr>
      </w:pPr>
      <w:r>
        <w:rPr>
          <w:rFonts w:ascii="Calibri" w:hAnsi="Calibri" w:cs="Calibri"/>
          <w:sz w:val="22"/>
          <w:szCs w:val="22"/>
        </w:rPr>
        <w:t>Evaluation of whether aggregation of individual loans could be appropriate for reporting purposes, including guidance on which loans can be aggregated to retain benefits of disclosure of key risk characteristics</w:t>
      </w:r>
    </w:p>
    <w:p w14:paraId="68D296EB" w14:textId="08B50EB0" w:rsidR="00CE6044" w:rsidRDefault="00CE6044" w:rsidP="00CE6044">
      <w:pPr>
        <w:pStyle w:val="BodyText2"/>
        <w:tabs>
          <w:tab w:val="right" w:pos="360"/>
          <w:tab w:val="left" w:pos="720"/>
        </w:tabs>
        <w:spacing w:after="120"/>
        <w:jc w:val="both"/>
        <w:rPr>
          <w:rFonts w:ascii="Calibri" w:hAnsi="Calibri" w:cs="Calibri"/>
          <w:sz w:val="22"/>
          <w:szCs w:val="22"/>
        </w:rPr>
      </w:pPr>
      <w:r>
        <w:rPr>
          <w:rFonts w:ascii="Calibri" w:hAnsi="Calibri" w:cs="Calibri"/>
          <w:sz w:val="22"/>
          <w:szCs w:val="22"/>
        </w:rPr>
        <w:t>In coordination with, or following the above considerations, this referral also requests that the Life Risk-Based Capital (E) Working Group</w:t>
      </w:r>
      <w:r w:rsidR="00680831">
        <w:rPr>
          <w:rFonts w:ascii="Calibri" w:hAnsi="Calibri" w:cs="Calibri"/>
          <w:sz w:val="22"/>
          <w:szCs w:val="22"/>
        </w:rPr>
        <w:t>:</w:t>
      </w:r>
      <w:r>
        <w:rPr>
          <w:rFonts w:ascii="Calibri" w:hAnsi="Calibri" w:cs="Calibri"/>
          <w:sz w:val="22"/>
          <w:szCs w:val="22"/>
        </w:rPr>
        <w:t xml:space="preserve"> </w:t>
      </w:r>
    </w:p>
    <w:p w14:paraId="56A050FD" w14:textId="77777777" w:rsidR="00CE6044" w:rsidRDefault="00CE6044" w:rsidP="00680831">
      <w:pPr>
        <w:pStyle w:val="BodyText2"/>
        <w:numPr>
          <w:ilvl w:val="0"/>
          <w:numId w:val="25"/>
        </w:numPr>
        <w:tabs>
          <w:tab w:val="left" w:pos="720"/>
        </w:tabs>
        <w:spacing w:after="120"/>
        <w:jc w:val="both"/>
        <w:rPr>
          <w:rFonts w:ascii="Calibri" w:hAnsi="Calibri" w:cs="Calibri"/>
          <w:sz w:val="22"/>
          <w:szCs w:val="22"/>
        </w:rPr>
      </w:pPr>
      <w:r w:rsidRPr="00CE6044">
        <w:rPr>
          <w:rFonts w:ascii="Calibri" w:hAnsi="Calibri" w:cs="Calibri"/>
          <w:sz w:val="22"/>
          <w:szCs w:val="22"/>
        </w:rPr>
        <w:t xml:space="preserve">Provide input on the potential RBC implications of mortgage loan exposures that, while currently classified as residential, may exhibit characteristics more consistent with commercial or development-type lending. </w:t>
      </w:r>
    </w:p>
    <w:p w14:paraId="5F4FDDF0" w14:textId="26823110" w:rsidR="00CE6044" w:rsidRDefault="00CE6044" w:rsidP="00680831">
      <w:pPr>
        <w:pStyle w:val="BodyText2"/>
        <w:numPr>
          <w:ilvl w:val="0"/>
          <w:numId w:val="25"/>
        </w:numPr>
        <w:tabs>
          <w:tab w:val="left" w:pos="720"/>
        </w:tabs>
        <w:spacing w:after="120"/>
        <w:jc w:val="both"/>
        <w:rPr>
          <w:rFonts w:ascii="Calibri" w:hAnsi="Calibri" w:cs="Calibri"/>
          <w:sz w:val="22"/>
          <w:szCs w:val="22"/>
        </w:rPr>
      </w:pPr>
      <w:r w:rsidRPr="00CE6044">
        <w:rPr>
          <w:rFonts w:ascii="Calibri" w:hAnsi="Calibri" w:cs="Calibri"/>
          <w:sz w:val="22"/>
          <w:szCs w:val="22"/>
        </w:rPr>
        <w:t>Consider whether</w:t>
      </w:r>
      <w:r w:rsidR="00680831">
        <w:rPr>
          <w:rFonts w:ascii="Calibri" w:hAnsi="Calibri" w:cs="Calibri"/>
          <w:sz w:val="22"/>
          <w:szCs w:val="22"/>
        </w:rPr>
        <w:t xml:space="preserve"> </w:t>
      </w:r>
      <w:r w:rsidRPr="00CE6044">
        <w:rPr>
          <w:rFonts w:ascii="Calibri" w:hAnsi="Calibri" w:cs="Calibri"/>
          <w:sz w:val="22"/>
          <w:szCs w:val="22"/>
        </w:rPr>
        <w:t>additional guidance or clarification may be warranted regarding the application of residential RBC factors, including additional reporting items required to differentiate variations in risk</w:t>
      </w:r>
      <w:r w:rsidR="002E2607">
        <w:rPr>
          <w:rFonts w:ascii="Calibri" w:hAnsi="Calibri" w:cs="Calibri"/>
          <w:sz w:val="22"/>
          <w:szCs w:val="22"/>
        </w:rPr>
        <w:t>, including due to underlying borrower creditworthiness</w:t>
      </w:r>
      <w:r w:rsidR="003203E5">
        <w:rPr>
          <w:rFonts w:ascii="Calibri" w:hAnsi="Calibri" w:cs="Calibri"/>
          <w:sz w:val="22"/>
          <w:szCs w:val="22"/>
        </w:rPr>
        <w:t>.</w:t>
      </w:r>
    </w:p>
    <w:p w14:paraId="16022CD6" w14:textId="77777777" w:rsidR="00CE6044" w:rsidRPr="00CE6044" w:rsidRDefault="00CE6044" w:rsidP="00680831">
      <w:pPr>
        <w:pStyle w:val="BodyText2"/>
        <w:numPr>
          <w:ilvl w:val="0"/>
          <w:numId w:val="25"/>
        </w:numPr>
        <w:tabs>
          <w:tab w:val="left" w:pos="720"/>
        </w:tabs>
        <w:spacing w:after="120"/>
        <w:jc w:val="both"/>
        <w:rPr>
          <w:rFonts w:ascii="Calibri" w:hAnsi="Calibri" w:cs="Calibri"/>
          <w:sz w:val="22"/>
          <w:szCs w:val="22"/>
        </w:rPr>
      </w:pPr>
      <w:r w:rsidRPr="00CE6044">
        <w:rPr>
          <w:rFonts w:ascii="Calibri" w:hAnsi="Calibri" w:cs="Calibri"/>
          <w:sz w:val="22"/>
          <w:szCs w:val="22"/>
        </w:rPr>
        <w:t xml:space="preserve">Evaluate whether certain exposures, such as large multi-unit, development-stage, or transitional properties, may warrant alternative RBC treatment or additional risk stratification to better align capital requirements with underlying economic risk. </w:t>
      </w:r>
    </w:p>
    <w:p w14:paraId="5559A9E7" w14:textId="78515B39" w:rsidR="00F07D28" w:rsidRPr="00F07D28" w:rsidRDefault="00F07D28" w:rsidP="00F07D28">
      <w:pPr>
        <w:pStyle w:val="BodyText2"/>
        <w:tabs>
          <w:tab w:val="right" w:pos="360"/>
          <w:tab w:val="left" w:pos="720"/>
        </w:tabs>
        <w:spacing w:after="120"/>
        <w:jc w:val="both"/>
        <w:rPr>
          <w:rFonts w:ascii="Calibri" w:hAnsi="Calibri" w:cs="Calibri"/>
          <w:sz w:val="22"/>
          <w:szCs w:val="22"/>
        </w:rPr>
      </w:pPr>
      <w:r w:rsidRPr="00F07D28">
        <w:rPr>
          <w:rFonts w:ascii="Calibri" w:hAnsi="Calibri" w:cs="Calibri"/>
          <w:sz w:val="22"/>
          <w:szCs w:val="22"/>
        </w:rPr>
        <w:lastRenderedPageBreak/>
        <w:t>These considerations are intended to support consistent statutory accounting guidance</w:t>
      </w:r>
      <w:r w:rsidR="00CE6044">
        <w:rPr>
          <w:rFonts w:ascii="Calibri" w:hAnsi="Calibri" w:cs="Calibri"/>
          <w:sz w:val="22"/>
          <w:szCs w:val="22"/>
        </w:rPr>
        <w:t xml:space="preserve"> and RBC application</w:t>
      </w:r>
      <w:r w:rsidRPr="00F07D28">
        <w:rPr>
          <w:rFonts w:ascii="Calibri" w:hAnsi="Calibri" w:cs="Calibri"/>
          <w:sz w:val="22"/>
          <w:szCs w:val="22"/>
        </w:rPr>
        <w:t>, enhance transparency in financial reporting, and better align classification outcomes with the underlying economic risk of mortgage loan exposures.</w:t>
      </w:r>
    </w:p>
    <w:p w14:paraId="056788F6" w14:textId="22BAE983" w:rsidR="005963CB" w:rsidRPr="00950BEB" w:rsidRDefault="0064308C" w:rsidP="00331FDA">
      <w:pPr>
        <w:pStyle w:val="BodyText2"/>
        <w:tabs>
          <w:tab w:val="right" w:pos="360"/>
          <w:tab w:val="left" w:pos="720"/>
        </w:tabs>
        <w:spacing w:after="120"/>
        <w:jc w:val="both"/>
        <w:rPr>
          <w:rFonts w:ascii="Calibri" w:hAnsi="Calibri" w:cs="Calibri"/>
          <w:sz w:val="22"/>
          <w:szCs w:val="22"/>
        </w:rPr>
      </w:pPr>
      <w:r>
        <w:rPr>
          <w:rFonts w:ascii="Calibri" w:hAnsi="Calibri" w:cs="Calibri"/>
          <w:sz w:val="22"/>
          <w:szCs w:val="22"/>
        </w:rPr>
        <w:t xml:space="preserve">The </w:t>
      </w:r>
      <w:r w:rsidR="0018131C" w:rsidRPr="53A861FE">
        <w:rPr>
          <w:rFonts w:ascii="Calibri" w:hAnsi="Calibri" w:cs="Calibri"/>
          <w:sz w:val="22"/>
          <w:szCs w:val="22"/>
        </w:rPr>
        <w:t>Investment Analysis (E) Working Group</w:t>
      </w:r>
      <w:r w:rsidR="0018131C" w:rsidRPr="00F07D28">
        <w:rPr>
          <w:rFonts w:ascii="Calibri" w:hAnsi="Calibri" w:cs="Calibri"/>
          <w:sz w:val="22"/>
          <w:szCs w:val="22"/>
        </w:rPr>
        <w:t xml:space="preserve"> </w:t>
      </w:r>
      <w:r w:rsidR="00F07D28" w:rsidRPr="00F07D28">
        <w:rPr>
          <w:rFonts w:ascii="Calibri" w:hAnsi="Calibri" w:cs="Calibri"/>
          <w:sz w:val="22"/>
          <w:szCs w:val="22"/>
        </w:rPr>
        <w:t xml:space="preserve">support staff </w:t>
      </w:r>
      <w:r w:rsidR="00F95C53">
        <w:rPr>
          <w:rFonts w:ascii="Calibri" w:hAnsi="Calibri" w:cs="Calibri"/>
          <w:sz w:val="22"/>
          <w:szCs w:val="22"/>
        </w:rPr>
        <w:t>are</w:t>
      </w:r>
      <w:r w:rsidR="00F07D28" w:rsidRPr="00F07D28">
        <w:rPr>
          <w:rFonts w:ascii="Calibri" w:hAnsi="Calibri" w:cs="Calibri"/>
          <w:sz w:val="22"/>
          <w:szCs w:val="22"/>
        </w:rPr>
        <w:t xml:space="preserve"> available to provide additional background, data, or analysis as needed to assist </w:t>
      </w:r>
      <w:r w:rsidR="002500DF">
        <w:rPr>
          <w:rFonts w:ascii="Calibri" w:hAnsi="Calibri" w:cs="Calibri"/>
          <w:sz w:val="22"/>
          <w:szCs w:val="22"/>
        </w:rPr>
        <w:t>with</w:t>
      </w:r>
      <w:r w:rsidR="00F07D28" w:rsidRPr="00F07D28">
        <w:rPr>
          <w:rFonts w:ascii="Calibri" w:hAnsi="Calibri" w:cs="Calibri"/>
          <w:sz w:val="22"/>
          <w:szCs w:val="22"/>
        </w:rPr>
        <w:t xml:space="preserve"> the </w:t>
      </w:r>
      <w:r w:rsidR="00F065F5" w:rsidRPr="00950BEB">
        <w:rPr>
          <w:rFonts w:ascii="Calibri" w:hAnsi="Calibri" w:cs="Calibri"/>
          <w:sz w:val="22"/>
          <w:szCs w:val="22"/>
        </w:rPr>
        <w:t>Statutory Accounting Principles (E) Working Group</w:t>
      </w:r>
      <w:r w:rsidR="002500DF">
        <w:rPr>
          <w:rFonts w:ascii="Calibri" w:hAnsi="Calibri" w:cs="Calibri"/>
          <w:sz w:val="22"/>
          <w:szCs w:val="22"/>
        </w:rPr>
        <w:t xml:space="preserve"> or the </w:t>
      </w:r>
      <w:r w:rsidR="002500DF" w:rsidRPr="00166305">
        <w:rPr>
          <w:rFonts w:ascii="Calibri" w:hAnsi="Calibri" w:cs="Calibri"/>
          <w:sz w:val="22"/>
          <w:szCs w:val="22"/>
        </w:rPr>
        <w:t>Life Risk-Based Capital (E) Working Group</w:t>
      </w:r>
      <w:r w:rsidR="002500DF">
        <w:rPr>
          <w:rFonts w:ascii="Calibri" w:hAnsi="Calibri" w:cs="Calibri"/>
          <w:sz w:val="22"/>
          <w:szCs w:val="22"/>
        </w:rPr>
        <w:t>’s</w:t>
      </w:r>
      <w:r w:rsidR="00F065F5" w:rsidRPr="00950BEB">
        <w:rPr>
          <w:rFonts w:ascii="Calibri" w:hAnsi="Calibri" w:cs="Calibri"/>
          <w:sz w:val="22"/>
          <w:szCs w:val="22"/>
        </w:rPr>
        <w:t xml:space="preserve"> </w:t>
      </w:r>
      <w:r w:rsidR="00F07D28" w:rsidRPr="00F07D28">
        <w:rPr>
          <w:rFonts w:ascii="Calibri" w:hAnsi="Calibri" w:cs="Calibri"/>
          <w:sz w:val="22"/>
          <w:szCs w:val="22"/>
        </w:rPr>
        <w:t>evaluation of this matter.</w:t>
      </w:r>
      <w:r w:rsidR="00680831">
        <w:rPr>
          <w:rFonts w:ascii="Calibri" w:hAnsi="Calibri" w:cs="Calibri"/>
          <w:sz w:val="22"/>
          <w:szCs w:val="22"/>
        </w:rPr>
        <w:t xml:space="preserve"> </w:t>
      </w:r>
      <w:r w:rsidR="005963CB" w:rsidRPr="00950BEB">
        <w:rPr>
          <w:rFonts w:ascii="Calibri" w:hAnsi="Calibri" w:cs="Calibri"/>
          <w:sz w:val="22"/>
          <w:szCs w:val="22"/>
        </w:rPr>
        <w:t>Please contact NAIC staff</w:t>
      </w:r>
      <w:r>
        <w:rPr>
          <w:rFonts w:ascii="Calibri" w:hAnsi="Calibri" w:cs="Calibri"/>
          <w:sz w:val="22"/>
          <w:szCs w:val="22"/>
        </w:rPr>
        <w:t>,</w:t>
      </w:r>
      <w:r w:rsidR="005963CB" w:rsidRPr="00950BEB">
        <w:rPr>
          <w:rFonts w:ascii="Calibri" w:hAnsi="Calibri" w:cs="Calibri"/>
          <w:sz w:val="22"/>
          <w:szCs w:val="22"/>
        </w:rPr>
        <w:t xml:space="preserve"> </w:t>
      </w:r>
      <w:r w:rsidR="000A1B2D">
        <w:rPr>
          <w:rFonts w:ascii="Calibri" w:hAnsi="Calibri" w:cs="Calibri"/>
          <w:sz w:val="22"/>
          <w:szCs w:val="22"/>
        </w:rPr>
        <w:t>Jim Pinegar</w:t>
      </w:r>
      <w:r>
        <w:rPr>
          <w:rFonts w:ascii="Calibri" w:hAnsi="Calibri" w:cs="Calibri"/>
          <w:sz w:val="22"/>
          <w:szCs w:val="22"/>
        </w:rPr>
        <w:t xml:space="preserve"> </w:t>
      </w:r>
      <w:r w:rsidR="005963CB" w:rsidRPr="00950BEB">
        <w:rPr>
          <w:rFonts w:ascii="Calibri" w:hAnsi="Calibri" w:cs="Calibri"/>
          <w:sz w:val="22"/>
          <w:szCs w:val="22"/>
        </w:rPr>
        <w:t>(</w:t>
      </w:r>
      <w:hyperlink r:id="rId11" w:history="1">
        <w:r w:rsidR="000A1B2D" w:rsidRPr="00FB0A37">
          <w:rPr>
            <w:rStyle w:val="Hyperlink"/>
            <w:rFonts w:ascii="Calibri" w:hAnsi="Calibri" w:cs="Calibri"/>
            <w:sz w:val="22"/>
            <w:szCs w:val="22"/>
          </w:rPr>
          <w:t>jpinegar@naic.org</w:t>
        </w:r>
      </w:hyperlink>
      <w:r w:rsidR="005963CB" w:rsidRPr="00950BEB">
        <w:rPr>
          <w:rFonts w:ascii="Calibri" w:hAnsi="Calibri" w:cs="Calibri"/>
          <w:sz w:val="22"/>
          <w:szCs w:val="22"/>
        </w:rPr>
        <w:t>)</w:t>
      </w:r>
      <w:r>
        <w:rPr>
          <w:rFonts w:ascii="Calibri" w:hAnsi="Calibri" w:cs="Calibri"/>
          <w:sz w:val="22"/>
          <w:szCs w:val="22"/>
        </w:rPr>
        <w:t>,</w:t>
      </w:r>
      <w:r w:rsidR="002956F8" w:rsidRPr="00950BEB">
        <w:rPr>
          <w:rFonts w:ascii="Calibri" w:hAnsi="Calibri" w:cs="Calibri"/>
          <w:sz w:val="22"/>
          <w:szCs w:val="22"/>
        </w:rPr>
        <w:t xml:space="preserve"> </w:t>
      </w:r>
      <w:r w:rsidR="005963CB" w:rsidRPr="00950BEB">
        <w:rPr>
          <w:rFonts w:ascii="Calibri" w:hAnsi="Calibri" w:cs="Calibri"/>
          <w:sz w:val="22"/>
          <w:szCs w:val="22"/>
        </w:rPr>
        <w:t xml:space="preserve">if you have any questions. </w:t>
      </w:r>
    </w:p>
    <w:p w14:paraId="7F962D3D" w14:textId="67D07D8F" w:rsidR="005963CB" w:rsidRDefault="005963CB" w:rsidP="005963CB">
      <w:pPr>
        <w:spacing w:after="120"/>
        <w:rPr>
          <w:rFonts w:ascii="Calibri" w:hAnsi="Calibri" w:cs="Calibri"/>
          <w:sz w:val="22"/>
          <w:szCs w:val="22"/>
        </w:rPr>
      </w:pPr>
      <w:r w:rsidRPr="697C5877">
        <w:rPr>
          <w:rFonts w:ascii="Calibri" w:hAnsi="Calibri" w:cs="Calibri"/>
          <w:sz w:val="22"/>
          <w:szCs w:val="22"/>
        </w:rPr>
        <w:t>Cc:</w:t>
      </w:r>
      <w:r w:rsidR="000A1B2D" w:rsidRPr="697C5877">
        <w:rPr>
          <w:rFonts w:ascii="Calibri" w:hAnsi="Calibri" w:cs="Calibri"/>
          <w:sz w:val="22"/>
          <w:szCs w:val="22"/>
        </w:rPr>
        <w:t xml:space="preserve"> </w:t>
      </w:r>
      <w:r w:rsidR="008316F8" w:rsidRPr="697C5877">
        <w:rPr>
          <w:rFonts w:ascii="Calibri" w:hAnsi="Calibri" w:cs="Calibri"/>
          <w:sz w:val="22"/>
          <w:szCs w:val="22"/>
        </w:rPr>
        <w:t>Jim Pinegar, Dimitris Karapiperis,</w:t>
      </w:r>
      <w:r w:rsidR="00510F28">
        <w:rPr>
          <w:rFonts w:ascii="Calibri" w:hAnsi="Calibri" w:cs="Calibri"/>
          <w:sz w:val="22"/>
          <w:szCs w:val="22"/>
        </w:rPr>
        <w:t xml:space="preserve"> Topher Hughes</w:t>
      </w:r>
      <w:r w:rsidR="002C037C">
        <w:rPr>
          <w:rFonts w:ascii="Calibri" w:hAnsi="Calibri" w:cs="Calibri"/>
          <w:sz w:val="22"/>
          <w:szCs w:val="22"/>
        </w:rPr>
        <w:t xml:space="preserve">, </w:t>
      </w:r>
      <w:r w:rsidR="002C037C" w:rsidRPr="697C5877">
        <w:rPr>
          <w:rFonts w:ascii="Calibri" w:hAnsi="Calibri" w:cs="Calibri"/>
          <w:sz w:val="22"/>
          <w:szCs w:val="22"/>
        </w:rPr>
        <w:t xml:space="preserve">Julie Gann, Robin Marcotte, </w:t>
      </w:r>
      <w:r w:rsidR="00CB4CA8" w:rsidRPr="697C5877">
        <w:rPr>
          <w:rFonts w:ascii="Calibri" w:hAnsi="Calibri" w:cs="Calibri"/>
          <w:sz w:val="22"/>
          <w:szCs w:val="22"/>
        </w:rPr>
        <w:t>Jake Stultz</w:t>
      </w:r>
      <w:r w:rsidR="00CB4CA8">
        <w:rPr>
          <w:rFonts w:ascii="Calibri" w:hAnsi="Calibri" w:cs="Calibri"/>
          <w:sz w:val="22"/>
          <w:szCs w:val="22"/>
        </w:rPr>
        <w:t>,</w:t>
      </w:r>
      <w:r w:rsidR="00CB4CA8" w:rsidRPr="697C5877">
        <w:rPr>
          <w:rFonts w:ascii="Calibri" w:hAnsi="Calibri" w:cs="Calibri"/>
          <w:sz w:val="22"/>
          <w:szCs w:val="22"/>
        </w:rPr>
        <w:t xml:space="preserve"> </w:t>
      </w:r>
      <w:r w:rsidR="002C037C" w:rsidRPr="697C5877">
        <w:rPr>
          <w:rFonts w:ascii="Calibri" w:hAnsi="Calibri" w:cs="Calibri"/>
          <w:sz w:val="22"/>
          <w:szCs w:val="22"/>
        </w:rPr>
        <w:t>Wil Oden,</w:t>
      </w:r>
      <w:r w:rsidR="008316F8" w:rsidRPr="697C5877">
        <w:rPr>
          <w:rFonts w:ascii="Calibri" w:hAnsi="Calibri" w:cs="Calibri"/>
          <w:sz w:val="22"/>
          <w:szCs w:val="22"/>
        </w:rPr>
        <w:t xml:space="preserve"> Jason Farr, </w:t>
      </w:r>
      <w:r w:rsidR="00CB4CA8" w:rsidRPr="00CB4CA8">
        <w:rPr>
          <w:rFonts w:ascii="Calibri" w:hAnsi="Calibri" w:cs="Calibri"/>
          <w:sz w:val="22"/>
          <w:szCs w:val="22"/>
        </w:rPr>
        <w:t>Maggie Chang, Kazeem Okosun</w:t>
      </w:r>
      <w:r w:rsidR="00CB4CA8">
        <w:rPr>
          <w:rFonts w:ascii="Calibri" w:hAnsi="Calibri" w:cs="Calibri"/>
          <w:sz w:val="22"/>
          <w:szCs w:val="22"/>
        </w:rPr>
        <w:t>.</w:t>
      </w:r>
    </w:p>
    <w:p w14:paraId="6A6ACEB2" w14:textId="77777777" w:rsidR="00894E21" w:rsidRDefault="00894E21" w:rsidP="005963CB">
      <w:pPr>
        <w:spacing w:after="120"/>
        <w:rPr>
          <w:rFonts w:ascii="Calibri" w:hAnsi="Calibri" w:cs="Calibri"/>
          <w:sz w:val="22"/>
          <w:szCs w:val="22"/>
        </w:rPr>
      </w:pPr>
    </w:p>
    <w:p w14:paraId="32461FE6" w14:textId="234BC5B4" w:rsidR="002046F2" w:rsidRPr="00A54018" w:rsidRDefault="002046F2" w:rsidP="002046F2">
      <w:pPr>
        <w:rPr>
          <w:rFonts w:asciiTheme="minorHAnsi" w:hAnsiTheme="minorHAnsi" w:cstheme="minorHAnsi"/>
          <w:sz w:val="16"/>
          <w:szCs w:val="16"/>
        </w:rPr>
      </w:pPr>
      <w:r w:rsidRPr="007441CC">
        <w:rPr>
          <w:rFonts w:asciiTheme="minorHAnsi" w:hAnsiTheme="minorHAnsi" w:cstheme="minorHAnsi"/>
          <w:sz w:val="16"/>
          <w:szCs w:val="16"/>
        </w:rPr>
        <w:fldChar w:fldCharType="begin"/>
      </w:r>
      <w:r w:rsidRPr="007441CC">
        <w:rPr>
          <w:rFonts w:asciiTheme="minorHAnsi" w:hAnsiTheme="minorHAnsi" w:cstheme="minorHAnsi"/>
          <w:sz w:val="16"/>
          <w:szCs w:val="16"/>
        </w:rPr>
        <w:instrText xml:space="preserve"> FILENAME \p </w:instrText>
      </w:r>
      <w:r w:rsidRPr="007441CC">
        <w:rPr>
          <w:rFonts w:asciiTheme="minorHAnsi" w:hAnsiTheme="minorHAnsi" w:cstheme="minorHAnsi"/>
          <w:sz w:val="16"/>
          <w:szCs w:val="16"/>
        </w:rPr>
        <w:fldChar w:fldCharType="separate"/>
      </w:r>
      <w:r>
        <w:rPr>
          <w:rFonts w:asciiTheme="minorHAnsi" w:hAnsiTheme="minorHAnsi" w:cstheme="minorHAnsi"/>
          <w:noProof/>
          <w:sz w:val="16"/>
          <w:szCs w:val="16"/>
        </w:rPr>
        <w:t>https://naiconline.sharepoint.com/teams/FRSStatutoryAccounting/National Meetings/A. National Meeting Materials/2026/08-12-26 Summer National Meeting/Meeting/E - INVAWG to SAPWG &amp; LRBC Referral - Final.docx</w:t>
      </w:r>
      <w:r w:rsidRPr="007441CC">
        <w:rPr>
          <w:rFonts w:asciiTheme="minorHAnsi" w:hAnsiTheme="minorHAnsi" w:cstheme="minorHAnsi"/>
          <w:sz w:val="16"/>
          <w:szCs w:val="16"/>
        </w:rPr>
        <w:fldChar w:fldCharType="end"/>
      </w:r>
    </w:p>
    <w:p w14:paraId="724E5BA4" w14:textId="77777777" w:rsidR="005963CB" w:rsidRPr="00950BEB" w:rsidRDefault="005963CB" w:rsidP="005963CB">
      <w:pPr>
        <w:spacing w:after="120"/>
        <w:rPr>
          <w:rFonts w:ascii="Calibri" w:hAnsi="Calibri" w:cs="Calibri"/>
          <w:sz w:val="22"/>
          <w:szCs w:val="22"/>
        </w:rPr>
      </w:pPr>
    </w:p>
    <w:sectPr w:rsidR="005963CB" w:rsidRPr="00950BEB" w:rsidSect="00E22EB3">
      <w:headerReference w:type="default" r:id="rId12"/>
      <w:footerReference w:type="even" r:id="rId13"/>
      <w:footerReference w:type="default" r:id="rId14"/>
      <w:headerReference w:type="first" r:id="rId15"/>
      <w:footerReference w:type="first" r:id="rId16"/>
      <w:pgSz w:w="12240" w:h="15840" w:code="1"/>
      <w:pgMar w:top="1080" w:right="1080" w:bottom="1080" w:left="108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7CC711" w14:textId="77777777" w:rsidR="00F15F37" w:rsidRDefault="00F15F37">
      <w:r>
        <w:separator/>
      </w:r>
    </w:p>
  </w:endnote>
  <w:endnote w:type="continuationSeparator" w:id="0">
    <w:p w14:paraId="3A4CD755" w14:textId="77777777" w:rsidR="00F15F37" w:rsidRDefault="00F15F37">
      <w:r>
        <w:continuationSeparator/>
      </w:r>
    </w:p>
  </w:endnote>
  <w:endnote w:type="continuationNotice" w:id="1">
    <w:p w14:paraId="2AC1C644" w14:textId="77777777" w:rsidR="00F15F37" w:rsidRDefault="00F15F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AEB90" w14:textId="77777777" w:rsidR="00A47964" w:rsidRDefault="00A47964" w:rsidP="00717DA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7BB314" w14:textId="77777777" w:rsidR="00A47964" w:rsidRDefault="00A479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6AECD" w14:textId="5E0A40A3" w:rsidR="00A47964" w:rsidRPr="00A43E26" w:rsidRDefault="00A47964" w:rsidP="00F52F5F">
    <w:pPr>
      <w:pStyle w:val="Footer"/>
      <w:framePr w:wrap="around" w:vAnchor="text" w:hAnchor="page" w:x="6076" w:y="21"/>
      <w:rPr>
        <w:rStyle w:val="PageNumber"/>
        <w:rFonts w:asciiTheme="minorHAnsi" w:hAnsiTheme="minorHAnsi" w:cstheme="minorHAnsi"/>
      </w:rPr>
    </w:pPr>
    <w:r w:rsidRPr="00A43E26">
      <w:rPr>
        <w:rStyle w:val="PageNumber"/>
        <w:rFonts w:asciiTheme="minorHAnsi" w:hAnsiTheme="minorHAnsi" w:cstheme="minorHAnsi"/>
      </w:rPr>
      <w:fldChar w:fldCharType="begin"/>
    </w:r>
    <w:r w:rsidRPr="00A43E26">
      <w:rPr>
        <w:rStyle w:val="PageNumber"/>
        <w:rFonts w:asciiTheme="minorHAnsi" w:hAnsiTheme="minorHAnsi" w:cstheme="minorHAnsi"/>
      </w:rPr>
      <w:instrText xml:space="preserve">PAGE  </w:instrText>
    </w:r>
    <w:r w:rsidRPr="00A43E26">
      <w:rPr>
        <w:rStyle w:val="PageNumber"/>
        <w:rFonts w:asciiTheme="minorHAnsi" w:hAnsiTheme="minorHAnsi" w:cstheme="minorHAnsi"/>
      </w:rPr>
      <w:fldChar w:fldCharType="separate"/>
    </w:r>
    <w:r w:rsidR="00DB520D" w:rsidRPr="00A43E26">
      <w:rPr>
        <w:rStyle w:val="PageNumber"/>
        <w:rFonts w:asciiTheme="minorHAnsi" w:hAnsiTheme="minorHAnsi" w:cstheme="minorHAnsi"/>
        <w:noProof/>
      </w:rPr>
      <w:t>3</w:t>
    </w:r>
    <w:r w:rsidRPr="00A43E26">
      <w:rPr>
        <w:rStyle w:val="PageNumber"/>
        <w:rFonts w:asciiTheme="minorHAnsi" w:hAnsiTheme="minorHAnsi" w:cstheme="minorHAnsi"/>
      </w:rPr>
      <w:fldChar w:fldCharType="end"/>
    </w:r>
  </w:p>
  <w:p w14:paraId="23ACB821" w14:textId="208E2ABD" w:rsidR="00A47964" w:rsidRPr="00A43E26" w:rsidRDefault="2E867C7D" w:rsidP="00123B8C">
    <w:pPr>
      <w:pStyle w:val="Footer"/>
      <w:tabs>
        <w:tab w:val="clear" w:pos="4320"/>
        <w:tab w:val="center" w:pos="5040"/>
      </w:tabs>
      <w:rPr>
        <w:rFonts w:asciiTheme="minorHAnsi" w:hAnsiTheme="minorHAnsi" w:cstheme="minorHAnsi"/>
      </w:rPr>
    </w:pPr>
    <w:r w:rsidRPr="00A43E26">
      <w:rPr>
        <w:rFonts w:asciiTheme="minorHAnsi" w:hAnsiTheme="minorHAnsi" w:cstheme="minorHAnsi"/>
      </w:rPr>
      <w:t>© 202</w:t>
    </w:r>
    <w:r w:rsidR="00C61721" w:rsidRPr="00A43E26">
      <w:rPr>
        <w:rFonts w:asciiTheme="minorHAnsi" w:hAnsiTheme="minorHAnsi" w:cstheme="minorHAnsi"/>
      </w:rPr>
      <w:t>6</w:t>
    </w:r>
    <w:r w:rsidRPr="00A43E26">
      <w:rPr>
        <w:rFonts w:asciiTheme="minorHAnsi" w:hAnsiTheme="minorHAnsi" w:cstheme="minorHAnsi"/>
      </w:rPr>
      <w:t xml:space="preserve"> National Association of Insurance Commissioner</w:t>
    </w:r>
    <w:r w:rsidR="00123B8C">
      <w:rPr>
        <w:rFonts w:asciiTheme="minorHAnsi" w:hAnsiTheme="minorHAnsi" w:cstheme="minorHAnsi"/>
      </w:rPr>
      <w:t>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DE58E" w14:textId="0A0BA92E" w:rsidR="004865E8" w:rsidRPr="00A43E26" w:rsidRDefault="0A746399" w:rsidP="004865E8">
    <w:pPr>
      <w:pStyle w:val="Footer"/>
      <w:tabs>
        <w:tab w:val="clear" w:pos="4320"/>
        <w:tab w:val="center" w:pos="5040"/>
      </w:tabs>
      <w:rPr>
        <w:rFonts w:asciiTheme="minorHAnsi" w:hAnsiTheme="minorHAnsi" w:cstheme="minorHAnsi"/>
        <w:lang w:eastAsia="zh-CN"/>
      </w:rPr>
    </w:pPr>
    <w:r w:rsidRPr="00A43E26">
      <w:rPr>
        <w:rFonts w:asciiTheme="minorHAnsi" w:hAnsiTheme="minorHAnsi" w:cstheme="minorHAnsi"/>
        <w:noProof/>
      </w:rPr>
      <w:t>© 2026 National Association of Insurance Commissioners</w:t>
    </w:r>
    <w:r w:rsidR="004865E8" w:rsidRPr="00A43E26">
      <w:rPr>
        <w:rFonts w:asciiTheme="minorHAnsi" w:hAnsiTheme="minorHAnsi" w:cstheme="minorHAnsi"/>
      </w:rPr>
      <w:tab/>
    </w:r>
    <w:r w:rsidR="004865E8" w:rsidRPr="00A43E26">
      <w:rPr>
        <w:rStyle w:val="PageNumber"/>
        <w:rFonts w:asciiTheme="minorHAnsi" w:hAnsiTheme="minorHAnsi" w:cstheme="minorHAnsi"/>
        <w:noProof/>
      </w:rPr>
      <w:fldChar w:fldCharType="begin"/>
    </w:r>
    <w:r w:rsidR="004865E8" w:rsidRPr="00A43E26">
      <w:rPr>
        <w:rStyle w:val="PageNumber"/>
        <w:rFonts w:asciiTheme="minorHAnsi" w:hAnsiTheme="minorHAnsi" w:cstheme="minorHAnsi"/>
      </w:rPr>
      <w:instrText xml:space="preserve"> PAGE </w:instrText>
    </w:r>
    <w:r w:rsidR="004865E8" w:rsidRPr="00A43E26">
      <w:rPr>
        <w:rStyle w:val="PageNumber"/>
        <w:rFonts w:asciiTheme="minorHAnsi" w:hAnsiTheme="minorHAnsi" w:cstheme="minorHAnsi"/>
      </w:rPr>
      <w:fldChar w:fldCharType="separate"/>
    </w:r>
    <w:r w:rsidRPr="00A43E26">
      <w:rPr>
        <w:rStyle w:val="PageNumber"/>
        <w:rFonts w:asciiTheme="minorHAnsi" w:hAnsiTheme="minorHAnsi" w:cstheme="minorHAnsi"/>
        <w:noProof/>
      </w:rPr>
      <w:t>1</w:t>
    </w:r>
    <w:r w:rsidR="004865E8" w:rsidRPr="00A43E26">
      <w:rPr>
        <w:rStyle w:val="PageNumber"/>
        <w:rFonts w:asciiTheme="minorHAnsi" w:hAnsiTheme="minorHAnsi" w:cstheme="minorHAnsi"/>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9A91B8" w14:textId="77777777" w:rsidR="00F15F37" w:rsidRDefault="00F15F37">
      <w:r>
        <w:separator/>
      </w:r>
    </w:p>
  </w:footnote>
  <w:footnote w:type="continuationSeparator" w:id="0">
    <w:p w14:paraId="115C18E5" w14:textId="77777777" w:rsidR="00F15F37" w:rsidRDefault="00F15F37">
      <w:r>
        <w:continuationSeparator/>
      </w:r>
    </w:p>
  </w:footnote>
  <w:footnote w:type="continuationNotice" w:id="1">
    <w:p w14:paraId="7D133B34" w14:textId="77777777" w:rsidR="00F15F37" w:rsidRDefault="00F15F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6BDE2" w14:textId="5960768B" w:rsidR="002B13FF" w:rsidRPr="00C65077" w:rsidRDefault="002B13FF" w:rsidP="002B13FF">
    <w:pPr>
      <w:pStyle w:val="Header"/>
      <w:jc w:val="right"/>
      <w:rPr>
        <w:rFonts w:asciiTheme="minorHAnsi" w:hAnsiTheme="minorHAnsi" w:cstheme="minorHAnsi"/>
        <w:b/>
      </w:rPr>
    </w:pPr>
    <w:r w:rsidRPr="00C65077">
      <w:rPr>
        <w:rFonts w:asciiTheme="minorHAnsi" w:hAnsiTheme="minorHAnsi" w:cstheme="minorHAnsi"/>
        <w:b/>
      </w:rPr>
      <w:t xml:space="preserve">Attachment </w:t>
    </w:r>
    <w:r>
      <w:rPr>
        <w:rFonts w:asciiTheme="minorHAnsi" w:hAnsiTheme="minorHAnsi" w:cstheme="minorHAnsi"/>
        <w:b/>
      </w:rPr>
      <w:t>E</w:t>
    </w:r>
  </w:p>
  <w:p w14:paraId="53F92B52" w14:textId="77777777" w:rsidR="007A494F" w:rsidRDefault="007A494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296BA" w14:textId="4541C170" w:rsidR="00D07E21" w:rsidRPr="00C65077" w:rsidRDefault="00224D53" w:rsidP="002B13FF">
    <w:pPr>
      <w:pStyle w:val="Header"/>
      <w:jc w:val="right"/>
      <w:rPr>
        <w:rFonts w:asciiTheme="minorHAnsi" w:hAnsiTheme="minorHAnsi" w:cstheme="minorHAnsi"/>
        <w:b/>
      </w:rPr>
    </w:pPr>
    <w:r>
      <w:rPr>
        <w:noProof/>
      </w:rPr>
      <w:drawing>
        <wp:anchor distT="0" distB="0" distL="114300" distR="114300" simplePos="0" relativeHeight="251658240" behindDoc="1" locked="1" layoutInCell="1" allowOverlap="1" wp14:anchorId="4D69B572" wp14:editId="6B62B007">
          <wp:simplePos x="0" y="0"/>
          <wp:positionH relativeFrom="page">
            <wp:posOffset>689212</wp:posOffset>
          </wp:positionH>
          <wp:positionV relativeFrom="page">
            <wp:posOffset>457200</wp:posOffset>
          </wp:positionV>
          <wp:extent cx="3108960" cy="373677"/>
          <wp:effectExtent l="0" t="0" r="0" b="762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NAICLogo"/>
                  <pic:cNvPicPr/>
                </pic:nvPicPr>
                <pic:blipFill>
                  <a:blip r:embed="rId1"/>
                  <a:stretch>
                    <a:fillRect/>
                  </a:stretch>
                </pic:blipFill>
                <pic:spPr>
                  <a:xfrm>
                    <a:off x="0" y="0"/>
                    <a:ext cx="3108960" cy="373677"/>
                  </a:xfrm>
                  <a:prstGeom prst="rect">
                    <a:avLst/>
                  </a:prstGeom>
                </pic:spPr>
              </pic:pic>
            </a:graphicData>
          </a:graphic>
          <wp14:sizeRelH relativeFrom="margin">
            <wp14:pctWidth>0</wp14:pctWidth>
          </wp14:sizeRelH>
          <wp14:sizeRelV relativeFrom="margin">
            <wp14:pctHeight>0</wp14:pctHeight>
          </wp14:sizeRelV>
        </wp:anchor>
      </w:drawing>
    </w:r>
    <w:r w:rsidR="00A47964">
      <w:tab/>
    </w:r>
    <w:r w:rsidR="002B13FF" w:rsidRPr="00C65077">
      <w:rPr>
        <w:rFonts w:asciiTheme="minorHAnsi" w:hAnsiTheme="minorHAnsi" w:cstheme="minorHAnsi"/>
        <w:b/>
      </w:rPr>
      <w:t xml:space="preserve">Attachment </w:t>
    </w:r>
    <w:r w:rsidR="002B13FF">
      <w:rPr>
        <w:rFonts w:asciiTheme="minorHAnsi" w:hAnsiTheme="minorHAnsi" w:cstheme="minorHAnsi"/>
        <w:b/>
      </w:rPr>
      <w:t>E</w:t>
    </w:r>
  </w:p>
  <w:p w14:paraId="60A78B4D" w14:textId="6EA18F59" w:rsidR="00A47964" w:rsidRPr="00D31C6E" w:rsidRDefault="00A47964" w:rsidP="00224D53">
    <w:pPr>
      <w:pStyle w:val="Header"/>
      <w:pBdr>
        <w:bottom w:val="single" w:sz="12" w:space="31" w:color="auto"/>
      </w:pBdr>
      <w:rPr>
        <w:sz w:val="4"/>
        <w:szCs w:val="4"/>
      </w:rPr>
    </w:pPr>
    <w:r>
      <w:tab/>
    </w:r>
  </w:p>
  <w:p w14:paraId="1697F95E" w14:textId="77777777" w:rsidR="00A47964" w:rsidRPr="00D31C6E" w:rsidRDefault="00A47964" w:rsidP="00D31C6E">
    <w:pPr>
      <w:pStyle w:val="Header"/>
      <w:rPr>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0DC8FD70"/>
    <w:lvl w:ilvl="0">
      <w:start w:val="1"/>
      <w:numFmt w:val="lowerLetter"/>
      <w:pStyle w:val="ListNumber2"/>
      <w:lvlText w:val="%1."/>
      <w:lvlJc w:val="left"/>
      <w:pPr>
        <w:tabs>
          <w:tab w:val="num" w:pos="0"/>
        </w:tabs>
        <w:ind w:left="1440" w:hanging="720"/>
      </w:pPr>
    </w:lvl>
  </w:abstractNum>
  <w:abstractNum w:abstractNumId="1" w15:restartNumberingAfterBreak="0">
    <w:nsid w:val="00000402"/>
    <w:multiLevelType w:val="multilevel"/>
    <w:tmpl w:val="FD204BFE"/>
    <w:lvl w:ilvl="0">
      <w:start w:val="13"/>
      <w:numFmt w:val="decimal"/>
      <w:lvlText w:val="%1."/>
      <w:lvlJc w:val="left"/>
      <w:pPr>
        <w:ind w:left="120" w:hanging="720"/>
      </w:pPr>
      <w:rPr>
        <w:rFonts w:ascii="Times New Roman" w:hAnsi="Times New Roman" w:cs="Times New Roman" w:hint="default"/>
        <w:b w:val="0"/>
        <w:bCs w:val="0"/>
        <w:i w:val="0"/>
        <w:iCs w:val="0"/>
        <w:spacing w:val="0"/>
        <w:w w:val="99"/>
        <w:sz w:val="22"/>
        <w:szCs w:val="22"/>
      </w:rPr>
    </w:lvl>
    <w:lvl w:ilvl="1">
      <w:start w:val="1"/>
      <w:numFmt w:val="lowerLetter"/>
      <w:lvlText w:val="%2."/>
      <w:lvlJc w:val="left"/>
      <w:pPr>
        <w:ind w:left="1559" w:hanging="720"/>
      </w:pPr>
      <w:rPr>
        <w:rFonts w:ascii="Times New Roman" w:hAnsi="Times New Roman" w:cs="Times New Roman" w:hint="default"/>
        <w:b w:val="0"/>
        <w:bCs w:val="0"/>
        <w:i w:val="0"/>
        <w:iCs w:val="0"/>
        <w:spacing w:val="-1"/>
        <w:w w:val="99"/>
        <w:sz w:val="22"/>
        <w:szCs w:val="22"/>
      </w:rPr>
    </w:lvl>
    <w:lvl w:ilvl="2">
      <w:start w:val="1"/>
      <w:numFmt w:val="lowerRoman"/>
      <w:lvlText w:val="%3."/>
      <w:lvlJc w:val="left"/>
      <w:pPr>
        <w:ind w:left="2279" w:hanging="720"/>
      </w:pPr>
      <w:rPr>
        <w:rFonts w:ascii="Times New Roman" w:hAnsi="Times New Roman" w:cs="Times New Roman" w:hint="default"/>
        <w:b w:val="0"/>
        <w:bCs w:val="0"/>
        <w:i w:val="0"/>
        <w:iCs w:val="0"/>
        <w:spacing w:val="0"/>
        <w:w w:val="99"/>
        <w:sz w:val="22"/>
        <w:szCs w:val="22"/>
      </w:rPr>
    </w:lvl>
    <w:lvl w:ilvl="3">
      <w:numFmt w:val="bullet"/>
      <w:lvlText w:val="•"/>
      <w:lvlJc w:val="left"/>
      <w:pPr>
        <w:ind w:left="3195" w:hanging="720"/>
      </w:pPr>
      <w:rPr>
        <w:rFonts w:hint="default"/>
      </w:rPr>
    </w:lvl>
    <w:lvl w:ilvl="4">
      <w:numFmt w:val="bullet"/>
      <w:lvlText w:val="•"/>
      <w:lvlJc w:val="left"/>
      <w:pPr>
        <w:ind w:left="4110" w:hanging="720"/>
      </w:pPr>
      <w:rPr>
        <w:rFonts w:hint="default"/>
      </w:rPr>
    </w:lvl>
    <w:lvl w:ilvl="5">
      <w:numFmt w:val="bullet"/>
      <w:lvlText w:val="•"/>
      <w:lvlJc w:val="left"/>
      <w:pPr>
        <w:ind w:left="5025" w:hanging="720"/>
      </w:pPr>
      <w:rPr>
        <w:rFonts w:hint="default"/>
      </w:rPr>
    </w:lvl>
    <w:lvl w:ilvl="6">
      <w:numFmt w:val="bullet"/>
      <w:lvlText w:val="•"/>
      <w:lvlJc w:val="left"/>
      <w:pPr>
        <w:ind w:left="5940" w:hanging="720"/>
      </w:pPr>
      <w:rPr>
        <w:rFonts w:hint="default"/>
      </w:rPr>
    </w:lvl>
    <w:lvl w:ilvl="7">
      <w:numFmt w:val="bullet"/>
      <w:lvlText w:val="•"/>
      <w:lvlJc w:val="left"/>
      <w:pPr>
        <w:ind w:left="6855" w:hanging="720"/>
      </w:pPr>
      <w:rPr>
        <w:rFonts w:hint="default"/>
      </w:rPr>
    </w:lvl>
    <w:lvl w:ilvl="8">
      <w:numFmt w:val="bullet"/>
      <w:lvlText w:val="•"/>
      <w:lvlJc w:val="left"/>
      <w:pPr>
        <w:ind w:left="7770" w:hanging="720"/>
      </w:pPr>
      <w:rPr>
        <w:rFonts w:hint="default"/>
      </w:rPr>
    </w:lvl>
  </w:abstractNum>
  <w:abstractNum w:abstractNumId="2" w15:restartNumberingAfterBreak="0">
    <w:nsid w:val="02762482"/>
    <w:multiLevelType w:val="hybridMultilevel"/>
    <w:tmpl w:val="A3F45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D01922"/>
    <w:multiLevelType w:val="multilevel"/>
    <w:tmpl w:val="FD204BFE"/>
    <w:lvl w:ilvl="0">
      <w:start w:val="13"/>
      <w:numFmt w:val="decimal"/>
      <w:lvlText w:val="%1."/>
      <w:lvlJc w:val="left"/>
      <w:pPr>
        <w:ind w:left="120" w:hanging="720"/>
      </w:pPr>
      <w:rPr>
        <w:rFonts w:ascii="Times New Roman" w:hAnsi="Times New Roman" w:cs="Times New Roman" w:hint="default"/>
        <w:b w:val="0"/>
        <w:bCs w:val="0"/>
        <w:i w:val="0"/>
        <w:iCs w:val="0"/>
        <w:spacing w:val="0"/>
        <w:w w:val="99"/>
        <w:sz w:val="22"/>
        <w:szCs w:val="22"/>
      </w:rPr>
    </w:lvl>
    <w:lvl w:ilvl="1">
      <w:start w:val="1"/>
      <w:numFmt w:val="lowerLetter"/>
      <w:lvlText w:val="%2."/>
      <w:lvlJc w:val="left"/>
      <w:pPr>
        <w:ind w:left="1559" w:hanging="720"/>
      </w:pPr>
      <w:rPr>
        <w:rFonts w:ascii="Times New Roman" w:hAnsi="Times New Roman" w:cs="Times New Roman" w:hint="default"/>
        <w:b w:val="0"/>
        <w:bCs w:val="0"/>
        <w:i w:val="0"/>
        <w:iCs w:val="0"/>
        <w:spacing w:val="-1"/>
        <w:w w:val="99"/>
        <w:sz w:val="22"/>
        <w:szCs w:val="22"/>
      </w:rPr>
    </w:lvl>
    <w:lvl w:ilvl="2">
      <w:start w:val="1"/>
      <w:numFmt w:val="lowerRoman"/>
      <w:lvlText w:val="%3."/>
      <w:lvlJc w:val="left"/>
      <w:pPr>
        <w:ind w:left="2279" w:hanging="720"/>
      </w:pPr>
      <w:rPr>
        <w:rFonts w:ascii="Times New Roman" w:hAnsi="Times New Roman" w:cs="Times New Roman" w:hint="default"/>
        <w:b w:val="0"/>
        <w:bCs w:val="0"/>
        <w:i w:val="0"/>
        <w:iCs w:val="0"/>
        <w:spacing w:val="0"/>
        <w:w w:val="99"/>
        <w:sz w:val="22"/>
        <w:szCs w:val="22"/>
      </w:rPr>
    </w:lvl>
    <w:lvl w:ilvl="3">
      <w:numFmt w:val="bullet"/>
      <w:lvlText w:val="•"/>
      <w:lvlJc w:val="left"/>
      <w:pPr>
        <w:ind w:left="3195" w:hanging="720"/>
      </w:pPr>
      <w:rPr>
        <w:rFonts w:hint="default"/>
      </w:rPr>
    </w:lvl>
    <w:lvl w:ilvl="4">
      <w:numFmt w:val="bullet"/>
      <w:lvlText w:val="•"/>
      <w:lvlJc w:val="left"/>
      <w:pPr>
        <w:ind w:left="4110" w:hanging="720"/>
      </w:pPr>
      <w:rPr>
        <w:rFonts w:hint="default"/>
      </w:rPr>
    </w:lvl>
    <w:lvl w:ilvl="5">
      <w:numFmt w:val="bullet"/>
      <w:lvlText w:val="•"/>
      <w:lvlJc w:val="left"/>
      <w:pPr>
        <w:ind w:left="5025" w:hanging="720"/>
      </w:pPr>
      <w:rPr>
        <w:rFonts w:hint="default"/>
      </w:rPr>
    </w:lvl>
    <w:lvl w:ilvl="6">
      <w:numFmt w:val="bullet"/>
      <w:lvlText w:val="•"/>
      <w:lvlJc w:val="left"/>
      <w:pPr>
        <w:ind w:left="5940" w:hanging="720"/>
      </w:pPr>
      <w:rPr>
        <w:rFonts w:hint="default"/>
      </w:rPr>
    </w:lvl>
    <w:lvl w:ilvl="7">
      <w:numFmt w:val="bullet"/>
      <w:lvlText w:val="•"/>
      <w:lvlJc w:val="left"/>
      <w:pPr>
        <w:ind w:left="6855" w:hanging="720"/>
      </w:pPr>
      <w:rPr>
        <w:rFonts w:hint="default"/>
      </w:rPr>
    </w:lvl>
    <w:lvl w:ilvl="8">
      <w:numFmt w:val="bullet"/>
      <w:lvlText w:val="•"/>
      <w:lvlJc w:val="left"/>
      <w:pPr>
        <w:ind w:left="7770" w:hanging="720"/>
      </w:pPr>
      <w:rPr>
        <w:rFonts w:hint="default"/>
      </w:rPr>
    </w:lvl>
  </w:abstractNum>
  <w:abstractNum w:abstractNumId="4" w15:restartNumberingAfterBreak="0">
    <w:nsid w:val="092210F7"/>
    <w:multiLevelType w:val="hybridMultilevel"/>
    <w:tmpl w:val="081C615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96B7E6D"/>
    <w:multiLevelType w:val="multilevel"/>
    <w:tmpl w:val="8830262E"/>
    <w:lvl w:ilvl="0">
      <w:start w:val="39"/>
      <w:numFmt w:val="decimal"/>
      <w:lvlText w:val="%1."/>
      <w:lvlJc w:val="left"/>
      <w:pPr>
        <w:ind w:left="760" w:hanging="720"/>
      </w:pPr>
      <w:rPr>
        <w:rFonts w:ascii="Times New Roman" w:hAnsi="Times New Roman" w:cs="Times New Roman" w:hint="default"/>
        <w:b w:val="0"/>
        <w:bCs w:val="0"/>
        <w:i w:val="0"/>
        <w:iCs w:val="0"/>
        <w:spacing w:val="0"/>
        <w:w w:val="99"/>
        <w:sz w:val="22"/>
        <w:szCs w:val="22"/>
      </w:rPr>
    </w:lvl>
    <w:lvl w:ilvl="1">
      <w:start w:val="1"/>
      <w:numFmt w:val="lowerLetter"/>
      <w:lvlText w:val="%2."/>
      <w:lvlJc w:val="left"/>
      <w:pPr>
        <w:ind w:left="2199" w:hanging="720"/>
      </w:pPr>
      <w:rPr>
        <w:rFonts w:ascii="Times New Roman" w:hAnsi="Times New Roman" w:cs="Times New Roman" w:hint="default"/>
        <w:b w:val="0"/>
        <w:bCs w:val="0"/>
        <w:i w:val="0"/>
        <w:iCs w:val="0"/>
        <w:spacing w:val="-1"/>
        <w:w w:val="99"/>
        <w:sz w:val="22"/>
        <w:szCs w:val="22"/>
      </w:rPr>
    </w:lvl>
    <w:lvl w:ilvl="2">
      <w:start w:val="1"/>
      <w:numFmt w:val="lowerRoman"/>
      <w:lvlText w:val="%3."/>
      <w:lvlJc w:val="left"/>
      <w:pPr>
        <w:ind w:left="2919" w:hanging="720"/>
      </w:pPr>
      <w:rPr>
        <w:rFonts w:ascii="Times New Roman" w:hAnsi="Times New Roman" w:cs="Times New Roman" w:hint="default"/>
        <w:b w:val="0"/>
        <w:bCs w:val="0"/>
        <w:i w:val="0"/>
        <w:iCs w:val="0"/>
        <w:spacing w:val="0"/>
        <w:w w:val="99"/>
        <w:sz w:val="22"/>
        <w:szCs w:val="22"/>
      </w:rPr>
    </w:lvl>
    <w:lvl w:ilvl="3">
      <w:numFmt w:val="bullet"/>
      <w:lvlText w:val="•"/>
      <w:lvlJc w:val="left"/>
      <w:pPr>
        <w:ind w:left="3835" w:hanging="720"/>
      </w:pPr>
      <w:rPr>
        <w:rFonts w:hint="default"/>
      </w:rPr>
    </w:lvl>
    <w:lvl w:ilvl="4">
      <w:numFmt w:val="bullet"/>
      <w:lvlText w:val="•"/>
      <w:lvlJc w:val="left"/>
      <w:pPr>
        <w:ind w:left="4750" w:hanging="720"/>
      </w:pPr>
      <w:rPr>
        <w:rFonts w:hint="default"/>
      </w:rPr>
    </w:lvl>
    <w:lvl w:ilvl="5">
      <w:numFmt w:val="bullet"/>
      <w:lvlText w:val="•"/>
      <w:lvlJc w:val="left"/>
      <w:pPr>
        <w:ind w:left="5665" w:hanging="720"/>
      </w:pPr>
      <w:rPr>
        <w:rFonts w:hint="default"/>
      </w:rPr>
    </w:lvl>
    <w:lvl w:ilvl="6">
      <w:numFmt w:val="bullet"/>
      <w:lvlText w:val="•"/>
      <w:lvlJc w:val="left"/>
      <w:pPr>
        <w:ind w:left="6580" w:hanging="720"/>
      </w:pPr>
      <w:rPr>
        <w:rFonts w:hint="default"/>
      </w:rPr>
    </w:lvl>
    <w:lvl w:ilvl="7">
      <w:numFmt w:val="bullet"/>
      <w:lvlText w:val="•"/>
      <w:lvlJc w:val="left"/>
      <w:pPr>
        <w:ind w:left="7495" w:hanging="720"/>
      </w:pPr>
      <w:rPr>
        <w:rFonts w:hint="default"/>
      </w:rPr>
    </w:lvl>
    <w:lvl w:ilvl="8">
      <w:numFmt w:val="bullet"/>
      <w:lvlText w:val="•"/>
      <w:lvlJc w:val="left"/>
      <w:pPr>
        <w:ind w:left="8410" w:hanging="720"/>
      </w:pPr>
      <w:rPr>
        <w:rFonts w:hint="default"/>
      </w:rPr>
    </w:lvl>
  </w:abstractNum>
  <w:abstractNum w:abstractNumId="6" w15:restartNumberingAfterBreak="0">
    <w:nsid w:val="1B8900E6"/>
    <w:multiLevelType w:val="hybridMultilevel"/>
    <w:tmpl w:val="5448ADE2"/>
    <w:lvl w:ilvl="0" w:tplc="FFFFFFFF">
      <w:start w:val="1"/>
      <w:numFmt w:val="decimal"/>
      <w:lvlText w:val="%1."/>
      <w:lvlJc w:val="left"/>
      <w:pPr>
        <w:ind w:left="720" w:hanging="360"/>
      </w:pPr>
      <w:rPr>
        <w:rFonts w:hint="default"/>
      </w:rPr>
    </w:lvl>
    <w:lvl w:ilvl="1" w:tplc="FFFFFFFF">
      <w:start w:val="1"/>
      <w:numFmt w:val="decimal"/>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 w15:restartNumberingAfterBreak="0">
    <w:nsid w:val="1CE542F4"/>
    <w:multiLevelType w:val="hybridMultilevel"/>
    <w:tmpl w:val="8182D07C"/>
    <w:lvl w:ilvl="0" w:tplc="0409000F">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8" w15:restartNumberingAfterBreak="0">
    <w:nsid w:val="248E1046"/>
    <w:multiLevelType w:val="hybridMultilevel"/>
    <w:tmpl w:val="09568F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6356EB3"/>
    <w:multiLevelType w:val="hybridMultilevel"/>
    <w:tmpl w:val="C3BE056A"/>
    <w:lvl w:ilvl="0" w:tplc="FFFFFFFF">
      <w:start w:val="1"/>
      <w:numFmt w:val="decimal"/>
      <w:lvlText w:val="%1."/>
      <w:lvlJc w:val="left"/>
      <w:pPr>
        <w:ind w:left="360" w:hanging="360"/>
      </w:pPr>
      <w:rPr>
        <w:rFonts w:hint="default"/>
        <w:i w:val="0"/>
        <w:iCs w:val="0"/>
      </w:rPr>
    </w:lvl>
    <w:lvl w:ilvl="1" w:tplc="FFFFFFFF">
      <w:start w:val="1"/>
      <w:numFmt w:val="decimal"/>
      <w:lvlText w:val="%2."/>
      <w:lvlJc w:val="left"/>
      <w:pPr>
        <w:ind w:left="1080" w:hanging="360"/>
      </w:p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0" w15:restartNumberingAfterBreak="0">
    <w:nsid w:val="2E2F0F88"/>
    <w:multiLevelType w:val="hybridMultilevel"/>
    <w:tmpl w:val="8BFE2C4C"/>
    <w:lvl w:ilvl="0" w:tplc="FFFFFFFF">
      <w:start w:val="32"/>
      <w:numFmt w:val="decimal"/>
      <w:lvlText w:val="%1."/>
      <w:lvlJc w:val="left"/>
      <w:pPr>
        <w:ind w:left="360" w:hanging="360"/>
      </w:pPr>
      <w:rPr>
        <w:rFonts w:hint="default"/>
      </w:rPr>
    </w:lvl>
    <w:lvl w:ilvl="1" w:tplc="FFFFFFFF">
      <w:start w:val="1"/>
      <w:numFmt w:val="lowerLetter"/>
      <w:lvlText w:val="%2."/>
      <w:lvlJc w:val="left"/>
      <w:pPr>
        <w:ind w:left="-810" w:hanging="360"/>
      </w:pPr>
    </w:lvl>
    <w:lvl w:ilvl="2" w:tplc="FFFFFFFF" w:tentative="1">
      <w:start w:val="1"/>
      <w:numFmt w:val="lowerRoman"/>
      <w:lvlText w:val="%3."/>
      <w:lvlJc w:val="right"/>
      <w:pPr>
        <w:ind w:left="-90" w:hanging="180"/>
      </w:pPr>
    </w:lvl>
    <w:lvl w:ilvl="3" w:tplc="FFFFFFFF" w:tentative="1">
      <w:start w:val="1"/>
      <w:numFmt w:val="decimal"/>
      <w:lvlText w:val="%4."/>
      <w:lvlJc w:val="left"/>
      <w:pPr>
        <w:ind w:left="630" w:hanging="360"/>
      </w:pPr>
    </w:lvl>
    <w:lvl w:ilvl="4" w:tplc="FFFFFFFF" w:tentative="1">
      <w:start w:val="1"/>
      <w:numFmt w:val="lowerLetter"/>
      <w:lvlText w:val="%5."/>
      <w:lvlJc w:val="left"/>
      <w:pPr>
        <w:ind w:left="1350" w:hanging="360"/>
      </w:pPr>
    </w:lvl>
    <w:lvl w:ilvl="5" w:tplc="FFFFFFFF" w:tentative="1">
      <w:start w:val="1"/>
      <w:numFmt w:val="lowerRoman"/>
      <w:lvlText w:val="%6."/>
      <w:lvlJc w:val="right"/>
      <w:pPr>
        <w:ind w:left="2070" w:hanging="180"/>
      </w:pPr>
    </w:lvl>
    <w:lvl w:ilvl="6" w:tplc="FFFFFFFF" w:tentative="1">
      <w:start w:val="1"/>
      <w:numFmt w:val="decimal"/>
      <w:lvlText w:val="%7."/>
      <w:lvlJc w:val="left"/>
      <w:pPr>
        <w:ind w:left="2790" w:hanging="360"/>
      </w:pPr>
    </w:lvl>
    <w:lvl w:ilvl="7" w:tplc="FFFFFFFF" w:tentative="1">
      <w:start w:val="1"/>
      <w:numFmt w:val="lowerLetter"/>
      <w:lvlText w:val="%8."/>
      <w:lvlJc w:val="left"/>
      <w:pPr>
        <w:ind w:left="3510" w:hanging="360"/>
      </w:pPr>
    </w:lvl>
    <w:lvl w:ilvl="8" w:tplc="FFFFFFFF" w:tentative="1">
      <w:start w:val="1"/>
      <w:numFmt w:val="lowerRoman"/>
      <w:lvlText w:val="%9."/>
      <w:lvlJc w:val="right"/>
      <w:pPr>
        <w:ind w:left="4230" w:hanging="180"/>
      </w:pPr>
    </w:lvl>
  </w:abstractNum>
  <w:abstractNum w:abstractNumId="11" w15:restartNumberingAfterBreak="0">
    <w:nsid w:val="321C0860"/>
    <w:multiLevelType w:val="hybridMultilevel"/>
    <w:tmpl w:val="BEBA6BF6"/>
    <w:lvl w:ilvl="0" w:tplc="8F3EAB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CD524B"/>
    <w:multiLevelType w:val="singleLevel"/>
    <w:tmpl w:val="A5588AAC"/>
    <w:lvl w:ilvl="0">
      <w:start w:val="63"/>
      <w:numFmt w:val="decimal"/>
      <w:lvlText w:val="%1."/>
      <w:lvlJc w:val="left"/>
      <w:pPr>
        <w:tabs>
          <w:tab w:val="num" w:pos="720"/>
        </w:tabs>
        <w:ind w:left="720" w:hanging="720"/>
      </w:pPr>
      <w:rPr>
        <w:rFonts w:hint="default"/>
      </w:rPr>
    </w:lvl>
  </w:abstractNum>
  <w:abstractNum w:abstractNumId="13" w15:restartNumberingAfterBreak="0">
    <w:nsid w:val="388D41C2"/>
    <w:multiLevelType w:val="hybridMultilevel"/>
    <w:tmpl w:val="D124101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EFD3CBF"/>
    <w:multiLevelType w:val="hybridMultilevel"/>
    <w:tmpl w:val="C3BE056A"/>
    <w:lvl w:ilvl="0" w:tplc="40240BB0">
      <w:start w:val="1"/>
      <w:numFmt w:val="decimal"/>
      <w:lvlText w:val="%1."/>
      <w:lvlJc w:val="left"/>
      <w:pPr>
        <w:ind w:left="-4320" w:hanging="360"/>
      </w:pPr>
      <w:rPr>
        <w:rFonts w:hint="default"/>
        <w:i w:val="0"/>
        <w:iCs w:val="0"/>
      </w:rPr>
    </w:lvl>
    <w:lvl w:ilvl="1" w:tplc="0409000F">
      <w:start w:val="1"/>
      <w:numFmt w:val="decimal"/>
      <w:lvlText w:val="%2."/>
      <w:lvlJc w:val="left"/>
      <w:pPr>
        <w:ind w:left="-3600" w:hanging="360"/>
      </w:p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1440" w:hanging="360"/>
      </w:pPr>
      <w:rPr>
        <w:rFonts w:ascii="Courier New" w:hAnsi="Courier New" w:cs="Courier New" w:hint="default"/>
      </w:rPr>
    </w:lvl>
    <w:lvl w:ilvl="5" w:tplc="04090005">
      <w:start w:val="1"/>
      <w:numFmt w:val="bullet"/>
      <w:lvlText w:val=""/>
      <w:lvlJc w:val="left"/>
      <w:pPr>
        <w:ind w:left="-720" w:hanging="360"/>
      </w:pPr>
      <w:rPr>
        <w:rFonts w:ascii="Wingdings" w:hAnsi="Wingdings" w:hint="default"/>
      </w:rPr>
    </w:lvl>
    <w:lvl w:ilvl="6" w:tplc="04090001">
      <w:start w:val="1"/>
      <w:numFmt w:val="bullet"/>
      <w:lvlText w:val=""/>
      <w:lvlJc w:val="left"/>
      <w:pPr>
        <w:ind w:left="0" w:hanging="360"/>
      </w:pPr>
      <w:rPr>
        <w:rFonts w:ascii="Symbol" w:hAnsi="Symbol" w:hint="default"/>
      </w:rPr>
    </w:lvl>
    <w:lvl w:ilvl="7" w:tplc="04090003">
      <w:start w:val="1"/>
      <w:numFmt w:val="bullet"/>
      <w:lvlText w:val="o"/>
      <w:lvlJc w:val="left"/>
      <w:pPr>
        <w:ind w:left="720" w:hanging="360"/>
      </w:pPr>
      <w:rPr>
        <w:rFonts w:ascii="Courier New" w:hAnsi="Courier New" w:cs="Courier New" w:hint="default"/>
      </w:rPr>
    </w:lvl>
    <w:lvl w:ilvl="8" w:tplc="04090005">
      <w:start w:val="1"/>
      <w:numFmt w:val="bullet"/>
      <w:lvlText w:val=""/>
      <w:lvlJc w:val="left"/>
      <w:pPr>
        <w:ind w:left="1440" w:hanging="360"/>
      </w:pPr>
      <w:rPr>
        <w:rFonts w:ascii="Wingdings" w:hAnsi="Wingdings" w:hint="default"/>
      </w:rPr>
    </w:lvl>
  </w:abstractNum>
  <w:abstractNum w:abstractNumId="15" w15:restartNumberingAfterBreak="0">
    <w:nsid w:val="453D6992"/>
    <w:multiLevelType w:val="singleLevel"/>
    <w:tmpl w:val="B6C656D6"/>
    <w:lvl w:ilvl="0">
      <w:start w:val="1"/>
      <w:numFmt w:val="lowerLetter"/>
      <w:lvlText w:val="%1."/>
      <w:legacy w:legacy="1" w:legacySpace="0" w:legacyIndent="720"/>
      <w:lvlJc w:val="left"/>
      <w:pPr>
        <w:ind w:left="1440" w:hanging="720"/>
      </w:pPr>
    </w:lvl>
  </w:abstractNum>
  <w:abstractNum w:abstractNumId="16" w15:restartNumberingAfterBreak="0">
    <w:nsid w:val="50161010"/>
    <w:multiLevelType w:val="multilevel"/>
    <w:tmpl w:val="C63EC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B9B6402"/>
    <w:multiLevelType w:val="hybridMultilevel"/>
    <w:tmpl w:val="AF70EDE0"/>
    <w:lvl w:ilvl="0" w:tplc="FFFFFFFF">
      <w:start w:val="22"/>
      <w:numFmt w:val="decimal"/>
      <w:lvlText w:val="%1."/>
      <w:lvlJc w:val="left"/>
      <w:pPr>
        <w:ind w:left="360" w:hanging="360"/>
      </w:pPr>
      <w:rPr>
        <w:rFonts w:hint="default"/>
      </w:rPr>
    </w:lvl>
    <w:lvl w:ilvl="1" w:tplc="FFFFFFFF">
      <w:start w:val="1"/>
      <w:numFmt w:val="lowerLetter"/>
      <w:lvlText w:val="%2."/>
      <w:lvlJc w:val="left"/>
      <w:pPr>
        <w:ind w:left="-810" w:hanging="360"/>
      </w:pPr>
    </w:lvl>
    <w:lvl w:ilvl="2" w:tplc="FFFFFFFF" w:tentative="1">
      <w:start w:val="1"/>
      <w:numFmt w:val="lowerRoman"/>
      <w:lvlText w:val="%3."/>
      <w:lvlJc w:val="right"/>
      <w:pPr>
        <w:ind w:left="-90" w:hanging="180"/>
      </w:pPr>
    </w:lvl>
    <w:lvl w:ilvl="3" w:tplc="FFFFFFFF" w:tentative="1">
      <w:start w:val="1"/>
      <w:numFmt w:val="decimal"/>
      <w:lvlText w:val="%4."/>
      <w:lvlJc w:val="left"/>
      <w:pPr>
        <w:ind w:left="630" w:hanging="360"/>
      </w:pPr>
    </w:lvl>
    <w:lvl w:ilvl="4" w:tplc="FFFFFFFF" w:tentative="1">
      <w:start w:val="1"/>
      <w:numFmt w:val="lowerLetter"/>
      <w:lvlText w:val="%5."/>
      <w:lvlJc w:val="left"/>
      <w:pPr>
        <w:ind w:left="1350" w:hanging="360"/>
      </w:pPr>
    </w:lvl>
    <w:lvl w:ilvl="5" w:tplc="FFFFFFFF" w:tentative="1">
      <w:start w:val="1"/>
      <w:numFmt w:val="lowerRoman"/>
      <w:lvlText w:val="%6."/>
      <w:lvlJc w:val="right"/>
      <w:pPr>
        <w:ind w:left="2070" w:hanging="180"/>
      </w:pPr>
    </w:lvl>
    <w:lvl w:ilvl="6" w:tplc="FFFFFFFF" w:tentative="1">
      <w:start w:val="1"/>
      <w:numFmt w:val="decimal"/>
      <w:lvlText w:val="%7."/>
      <w:lvlJc w:val="left"/>
      <w:pPr>
        <w:ind w:left="2790" w:hanging="360"/>
      </w:pPr>
    </w:lvl>
    <w:lvl w:ilvl="7" w:tplc="FFFFFFFF" w:tentative="1">
      <w:start w:val="1"/>
      <w:numFmt w:val="lowerLetter"/>
      <w:lvlText w:val="%8."/>
      <w:lvlJc w:val="left"/>
      <w:pPr>
        <w:ind w:left="3510" w:hanging="360"/>
      </w:pPr>
    </w:lvl>
    <w:lvl w:ilvl="8" w:tplc="FFFFFFFF" w:tentative="1">
      <w:start w:val="1"/>
      <w:numFmt w:val="lowerRoman"/>
      <w:lvlText w:val="%9."/>
      <w:lvlJc w:val="right"/>
      <w:pPr>
        <w:ind w:left="4230" w:hanging="180"/>
      </w:pPr>
    </w:lvl>
  </w:abstractNum>
  <w:abstractNum w:abstractNumId="18" w15:restartNumberingAfterBreak="0">
    <w:nsid w:val="6E934B08"/>
    <w:multiLevelType w:val="multilevel"/>
    <w:tmpl w:val="811483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26B448E"/>
    <w:multiLevelType w:val="hybridMultilevel"/>
    <w:tmpl w:val="7482F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CB3A87"/>
    <w:multiLevelType w:val="hybridMultilevel"/>
    <w:tmpl w:val="50A05C52"/>
    <w:lvl w:ilvl="0" w:tplc="FFFFFFFF">
      <w:start w:val="1"/>
      <w:numFmt w:val="lowerRoman"/>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21" w15:restartNumberingAfterBreak="0">
    <w:nsid w:val="7B49015E"/>
    <w:multiLevelType w:val="multilevel"/>
    <w:tmpl w:val="FFFFFFFF"/>
    <w:lvl w:ilvl="0">
      <w:start w:val="13"/>
      <w:numFmt w:val="decimal"/>
      <w:lvlText w:val="%1."/>
      <w:lvlJc w:val="left"/>
      <w:pPr>
        <w:ind w:left="120" w:hanging="720"/>
      </w:pPr>
      <w:rPr>
        <w:rFonts w:ascii="Times New Roman" w:hAnsi="Times New Roman" w:cs="Times New Roman"/>
        <w:b w:val="0"/>
        <w:bCs w:val="0"/>
        <w:i w:val="0"/>
        <w:iCs w:val="0"/>
        <w:spacing w:val="0"/>
        <w:w w:val="99"/>
        <w:sz w:val="22"/>
        <w:szCs w:val="22"/>
      </w:rPr>
    </w:lvl>
    <w:lvl w:ilvl="1">
      <w:start w:val="1"/>
      <w:numFmt w:val="lowerLetter"/>
      <w:lvlText w:val="%2."/>
      <w:lvlJc w:val="left"/>
      <w:pPr>
        <w:ind w:left="1559" w:hanging="720"/>
      </w:pPr>
      <w:rPr>
        <w:rFonts w:ascii="Times New Roman" w:hAnsi="Times New Roman" w:cs="Times New Roman"/>
        <w:b w:val="0"/>
        <w:bCs w:val="0"/>
        <w:i w:val="0"/>
        <w:iCs w:val="0"/>
        <w:spacing w:val="-1"/>
        <w:w w:val="99"/>
        <w:sz w:val="22"/>
        <w:szCs w:val="22"/>
      </w:rPr>
    </w:lvl>
    <w:lvl w:ilvl="2">
      <w:start w:val="1"/>
      <w:numFmt w:val="lowerRoman"/>
      <w:lvlText w:val="%3."/>
      <w:lvlJc w:val="left"/>
      <w:pPr>
        <w:ind w:left="2279" w:hanging="720"/>
      </w:pPr>
      <w:rPr>
        <w:rFonts w:ascii="Times New Roman" w:hAnsi="Times New Roman" w:cs="Times New Roman"/>
        <w:b w:val="0"/>
        <w:bCs w:val="0"/>
        <w:i w:val="0"/>
        <w:iCs w:val="0"/>
        <w:spacing w:val="0"/>
        <w:w w:val="99"/>
        <w:sz w:val="22"/>
        <w:szCs w:val="22"/>
      </w:rPr>
    </w:lvl>
    <w:lvl w:ilvl="3">
      <w:numFmt w:val="bullet"/>
      <w:lvlText w:val="•"/>
      <w:lvlJc w:val="left"/>
      <w:pPr>
        <w:ind w:left="3195" w:hanging="720"/>
      </w:pPr>
    </w:lvl>
    <w:lvl w:ilvl="4">
      <w:numFmt w:val="bullet"/>
      <w:lvlText w:val="•"/>
      <w:lvlJc w:val="left"/>
      <w:pPr>
        <w:ind w:left="4110" w:hanging="720"/>
      </w:pPr>
    </w:lvl>
    <w:lvl w:ilvl="5">
      <w:numFmt w:val="bullet"/>
      <w:lvlText w:val="•"/>
      <w:lvlJc w:val="left"/>
      <w:pPr>
        <w:ind w:left="5025" w:hanging="720"/>
      </w:pPr>
    </w:lvl>
    <w:lvl w:ilvl="6">
      <w:numFmt w:val="bullet"/>
      <w:lvlText w:val="•"/>
      <w:lvlJc w:val="left"/>
      <w:pPr>
        <w:ind w:left="5940" w:hanging="720"/>
      </w:pPr>
    </w:lvl>
    <w:lvl w:ilvl="7">
      <w:numFmt w:val="bullet"/>
      <w:lvlText w:val="•"/>
      <w:lvlJc w:val="left"/>
      <w:pPr>
        <w:ind w:left="6855" w:hanging="720"/>
      </w:pPr>
    </w:lvl>
    <w:lvl w:ilvl="8">
      <w:numFmt w:val="bullet"/>
      <w:lvlText w:val="•"/>
      <w:lvlJc w:val="left"/>
      <w:pPr>
        <w:ind w:left="7770" w:hanging="720"/>
      </w:pPr>
    </w:lvl>
  </w:abstractNum>
  <w:abstractNum w:abstractNumId="22" w15:restartNumberingAfterBreak="0">
    <w:nsid w:val="7DBC5D86"/>
    <w:multiLevelType w:val="hybridMultilevel"/>
    <w:tmpl w:val="4888FACC"/>
    <w:lvl w:ilvl="0" w:tplc="E2427CB0">
      <w:start w:val="21"/>
      <w:numFmt w:val="decimal"/>
      <w:pStyle w:val="ListContinued"/>
      <w:lvlText w:val="%1."/>
      <w:lvlJc w:val="left"/>
      <w:pPr>
        <w:ind w:left="360" w:hanging="360"/>
      </w:pPr>
      <w:rPr>
        <w:rFonts w:hint="default"/>
        <w:b w:val="0"/>
        <w:bCs w:val="0"/>
      </w:rPr>
    </w:lvl>
    <w:lvl w:ilvl="1" w:tplc="950C863A">
      <w:start w:val="1"/>
      <w:numFmt w:val="lowerLetter"/>
      <w:lvlText w:val="%2."/>
      <w:lvlJc w:val="left"/>
      <w:pPr>
        <w:ind w:left="1080" w:hanging="360"/>
      </w:pPr>
      <w:rPr>
        <w:b w:val="0"/>
        <w:bCs w:val="0"/>
      </w:rPr>
    </w:lvl>
    <w:lvl w:ilvl="2" w:tplc="9D347190">
      <w:start w:val="1"/>
      <w:numFmt w:val="lowerRoman"/>
      <w:lvlText w:val="%3."/>
      <w:lvlJc w:val="left"/>
      <w:pPr>
        <w:ind w:left="1800" w:hanging="18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609506108">
    <w:abstractNumId w:val="0"/>
  </w:num>
  <w:num w:numId="2" w16cid:durableId="783041060">
    <w:abstractNumId w:val="14"/>
  </w:num>
  <w:num w:numId="3" w16cid:durableId="979765454">
    <w:abstractNumId w:val="14"/>
  </w:num>
  <w:num w:numId="4" w16cid:durableId="321588090">
    <w:abstractNumId w:val="6"/>
  </w:num>
  <w:num w:numId="5" w16cid:durableId="1953242180">
    <w:abstractNumId w:val="4"/>
  </w:num>
  <w:num w:numId="6" w16cid:durableId="1952514640">
    <w:abstractNumId w:val="1"/>
  </w:num>
  <w:num w:numId="7" w16cid:durableId="534730648">
    <w:abstractNumId w:val="21"/>
  </w:num>
  <w:num w:numId="8" w16cid:durableId="1573738759">
    <w:abstractNumId w:val="3"/>
  </w:num>
  <w:num w:numId="9" w16cid:durableId="69353235">
    <w:abstractNumId w:val="5"/>
  </w:num>
  <w:num w:numId="10" w16cid:durableId="1152067053">
    <w:abstractNumId w:val="8"/>
  </w:num>
  <w:num w:numId="11" w16cid:durableId="250893931">
    <w:abstractNumId w:val="13"/>
  </w:num>
  <w:num w:numId="12" w16cid:durableId="1975208660">
    <w:abstractNumId w:val="17"/>
  </w:num>
  <w:num w:numId="13" w16cid:durableId="234316292">
    <w:abstractNumId w:val="10"/>
  </w:num>
  <w:num w:numId="14" w16cid:durableId="378434724">
    <w:abstractNumId w:val="20"/>
  </w:num>
  <w:num w:numId="15" w16cid:durableId="999310326">
    <w:abstractNumId w:val="12"/>
  </w:num>
  <w:num w:numId="16" w16cid:durableId="229509128">
    <w:abstractNumId w:val="22"/>
  </w:num>
  <w:num w:numId="17" w16cid:durableId="1405489337">
    <w:abstractNumId w:val="22"/>
    <w:lvlOverride w:ilvl="0">
      <w:startOverride w:val="23"/>
    </w:lvlOverride>
  </w:num>
  <w:num w:numId="18" w16cid:durableId="1653949157">
    <w:abstractNumId w:val="15"/>
  </w:num>
  <w:num w:numId="19" w16cid:durableId="146822490">
    <w:abstractNumId w:val="7"/>
  </w:num>
  <w:num w:numId="20" w16cid:durableId="138572557">
    <w:abstractNumId w:val="9"/>
  </w:num>
  <w:num w:numId="21" w16cid:durableId="827401731">
    <w:abstractNumId w:val="19"/>
  </w:num>
  <w:num w:numId="22" w16cid:durableId="372466404">
    <w:abstractNumId w:val="2"/>
  </w:num>
  <w:num w:numId="23" w16cid:durableId="6371550">
    <w:abstractNumId w:val="16"/>
  </w:num>
  <w:num w:numId="24" w16cid:durableId="1888909561">
    <w:abstractNumId w:val="11"/>
  </w:num>
  <w:num w:numId="25" w16cid:durableId="764038868">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13B5"/>
    <w:rsid w:val="00005407"/>
    <w:rsid w:val="00005622"/>
    <w:rsid w:val="00005B13"/>
    <w:rsid w:val="00005F75"/>
    <w:rsid w:val="00006124"/>
    <w:rsid w:val="00006DB8"/>
    <w:rsid w:val="00010DEC"/>
    <w:rsid w:val="00013078"/>
    <w:rsid w:val="00014402"/>
    <w:rsid w:val="0001656B"/>
    <w:rsid w:val="00020177"/>
    <w:rsid w:val="00021D71"/>
    <w:rsid w:val="00021FB9"/>
    <w:rsid w:val="00022E62"/>
    <w:rsid w:val="00025857"/>
    <w:rsid w:val="00026228"/>
    <w:rsid w:val="000312B2"/>
    <w:rsid w:val="00031FDF"/>
    <w:rsid w:val="00035DF7"/>
    <w:rsid w:val="000421D8"/>
    <w:rsid w:val="00047E92"/>
    <w:rsid w:val="0005529F"/>
    <w:rsid w:val="000561B6"/>
    <w:rsid w:val="0005687B"/>
    <w:rsid w:val="00056BC4"/>
    <w:rsid w:val="00057281"/>
    <w:rsid w:val="000631C1"/>
    <w:rsid w:val="000639D6"/>
    <w:rsid w:val="000643B6"/>
    <w:rsid w:val="00065159"/>
    <w:rsid w:val="00067D4D"/>
    <w:rsid w:val="0007115C"/>
    <w:rsid w:val="0007135A"/>
    <w:rsid w:val="0008018D"/>
    <w:rsid w:val="000801DC"/>
    <w:rsid w:val="00080545"/>
    <w:rsid w:val="00083A54"/>
    <w:rsid w:val="0008527E"/>
    <w:rsid w:val="00085800"/>
    <w:rsid w:val="00087432"/>
    <w:rsid w:val="000878AD"/>
    <w:rsid w:val="000902EE"/>
    <w:rsid w:val="00090C9D"/>
    <w:rsid w:val="000910FB"/>
    <w:rsid w:val="000912F9"/>
    <w:rsid w:val="000937F5"/>
    <w:rsid w:val="00095EE7"/>
    <w:rsid w:val="00096E7E"/>
    <w:rsid w:val="0009794D"/>
    <w:rsid w:val="000A1ACE"/>
    <w:rsid w:val="000A1B2D"/>
    <w:rsid w:val="000A2587"/>
    <w:rsid w:val="000B2EA9"/>
    <w:rsid w:val="000B335F"/>
    <w:rsid w:val="000B4C84"/>
    <w:rsid w:val="000B6BCE"/>
    <w:rsid w:val="000B6C12"/>
    <w:rsid w:val="000C096B"/>
    <w:rsid w:val="000C15F4"/>
    <w:rsid w:val="000C4347"/>
    <w:rsid w:val="000D2472"/>
    <w:rsid w:val="000D5667"/>
    <w:rsid w:val="000D636C"/>
    <w:rsid w:val="000E22F2"/>
    <w:rsid w:val="000E2D44"/>
    <w:rsid w:val="000E36F9"/>
    <w:rsid w:val="000F21E8"/>
    <w:rsid w:val="000F3C56"/>
    <w:rsid w:val="000F7234"/>
    <w:rsid w:val="000F7C3F"/>
    <w:rsid w:val="000F7C62"/>
    <w:rsid w:val="00102D60"/>
    <w:rsid w:val="00104419"/>
    <w:rsid w:val="00105481"/>
    <w:rsid w:val="00106002"/>
    <w:rsid w:val="001067FB"/>
    <w:rsid w:val="001105AD"/>
    <w:rsid w:val="00114E74"/>
    <w:rsid w:val="00115CE1"/>
    <w:rsid w:val="00117A91"/>
    <w:rsid w:val="001211D7"/>
    <w:rsid w:val="00121216"/>
    <w:rsid w:val="00123670"/>
    <w:rsid w:val="00123B8C"/>
    <w:rsid w:val="00126CFC"/>
    <w:rsid w:val="001308E6"/>
    <w:rsid w:val="001321B5"/>
    <w:rsid w:val="0013272C"/>
    <w:rsid w:val="00133440"/>
    <w:rsid w:val="0013602B"/>
    <w:rsid w:val="00136A41"/>
    <w:rsid w:val="00140902"/>
    <w:rsid w:val="00140B12"/>
    <w:rsid w:val="00141182"/>
    <w:rsid w:val="00142CFD"/>
    <w:rsid w:val="0014587E"/>
    <w:rsid w:val="00145ADA"/>
    <w:rsid w:val="001464EC"/>
    <w:rsid w:val="00147967"/>
    <w:rsid w:val="00147B72"/>
    <w:rsid w:val="0015240C"/>
    <w:rsid w:val="00154018"/>
    <w:rsid w:val="00154899"/>
    <w:rsid w:val="00154EB4"/>
    <w:rsid w:val="00155B4F"/>
    <w:rsid w:val="0016048D"/>
    <w:rsid w:val="00163814"/>
    <w:rsid w:val="00164775"/>
    <w:rsid w:val="00166305"/>
    <w:rsid w:val="00166662"/>
    <w:rsid w:val="00167C99"/>
    <w:rsid w:val="001710F7"/>
    <w:rsid w:val="001713B5"/>
    <w:rsid w:val="00171BD1"/>
    <w:rsid w:val="0017378B"/>
    <w:rsid w:val="0017487B"/>
    <w:rsid w:val="0017491B"/>
    <w:rsid w:val="001773F0"/>
    <w:rsid w:val="00177DF0"/>
    <w:rsid w:val="0018131C"/>
    <w:rsid w:val="0018255F"/>
    <w:rsid w:val="00183F87"/>
    <w:rsid w:val="0018466E"/>
    <w:rsid w:val="00190462"/>
    <w:rsid w:val="0019065E"/>
    <w:rsid w:val="00190926"/>
    <w:rsid w:val="0019258F"/>
    <w:rsid w:val="00192BAD"/>
    <w:rsid w:val="00194916"/>
    <w:rsid w:val="00195185"/>
    <w:rsid w:val="001A14FA"/>
    <w:rsid w:val="001A1BB7"/>
    <w:rsid w:val="001A4D41"/>
    <w:rsid w:val="001A53B6"/>
    <w:rsid w:val="001A568A"/>
    <w:rsid w:val="001A5817"/>
    <w:rsid w:val="001B3334"/>
    <w:rsid w:val="001B3375"/>
    <w:rsid w:val="001B52B6"/>
    <w:rsid w:val="001C3FF3"/>
    <w:rsid w:val="001C4AA3"/>
    <w:rsid w:val="001C7362"/>
    <w:rsid w:val="001D3C80"/>
    <w:rsid w:val="001D4460"/>
    <w:rsid w:val="001D580C"/>
    <w:rsid w:val="001E14D0"/>
    <w:rsid w:val="001E1C94"/>
    <w:rsid w:val="001E4A7F"/>
    <w:rsid w:val="001E7A39"/>
    <w:rsid w:val="001F4A0F"/>
    <w:rsid w:val="001F5698"/>
    <w:rsid w:val="001F6315"/>
    <w:rsid w:val="001F65E3"/>
    <w:rsid w:val="00201172"/>
    <w:rsid w:val="00201ED4"/>
    <w:rsid w:val="002046F2"/>
    <w:rsid w:val="00207FF4"/>
    <w:rsid w:val="00210494"/>
    <w:rsid w:val="002105BF"/>
    <w:rsid w:val="00213719"/>
    <w:rsid w:val="00215605"/>
    <w:rsid w:val="00216D6C"/>
    <w:rsid w:val="00217E9B"/>
    <w:rsid w:val="00222253"/>
    <w:rsid w:val="00224D53"/>
    <w:rsid w:val="00226E70"/>
    <w:rsid w:val="002305A6"/>
    <w:rsid w:val="00230F54"/>
    <w:rsid w:val="002324DC"/>
    <w:rsid w:val="00232E1B"/>
    <w:rsid w:val="00232F87"/>
    <w:rsid w:val="00233C07"/>
    <w:rsid w:val="00233D49"/>
    <w:rsid w:val="00234E77"/>
    <w:rsid w:val="002350FC"/>
    <w:rsid w:val="00235A0E"/>
    <w:rsid w:val="0023665C"/>
    <w:rsid w:val="00236B8B"/>
    <w:rsid w:val="0024135B"/>
    <w:rsid w:val="0024138D"/>
    <w:rsid w:val="002413EF"/>
    <w:rsid w:val="00244C13"/>
    <w:rsid w:val="00246C58"/>
    <w:rsid w:val="002479CB"/>
    <w:rsid w:val="002500DF"/>
    <w:rsid w:val="00253404"/>
    <w:rsid w:val="00254C3D"/>
    <w:rsid w:val="00254FCA"/>
    <w:rsid w:val="00264AD1"/>
    <w:rsid w:val="00267645"/>
    <w:rsid w:val="00267B77"/>
    <w:rsid w:val="002711EA"/>
    <w:rsid w:val="00272B6B"/>
    <w:rsid w:val="00274131"/>
    <w:rsid w:val="002751C4"/>
    <w:rsid w:val="00275C15"/>
    <w:rsid w:val="00276FAA"/>
    <w:rsid w:val="00277021"/>
    <w:rsid w:val="00285820"/>
    <w:rsid w:val="0028706E"/>
    <w:rsid w:val="0028725E"/>
    <w:rsid w:val="00287D4E"/>
    <w:rsid w:val="00292C82"/>
    <w:rsid w:val="00292F8B"/>
    <w:rsid w:val="002935B6"/>
    <w:rsid w:val="002956F8"/>
    <w:rsid w:val="00296D3F"/>
    <w:rsid w:val="002979B2"/>
    <w:rsid w:val="00297C6B"/>
    <w:rsid w:val="002A1E07"/>
    <w:rsid w:val="002A2AB0"/>
    <w:rsid w:val="002A318F"/>
    <w:rsid w:val="002A3A83"/>
    <w:rsid w:val="002A7663"/>
    <w:rsid w:val="002A7CEE"/>
    <w:rsid w:val="002B0712"/>
    <w:rsid w:val="002B13FF"/>
    <w:rsid w:val="002B1835"/>
    <w:rsid w:val="002B43D1"/>
    <w:rsid w:val="002C037C"/>
    <w:rsid w:val="002C09D2"/>
    <w:rsid w:val="002C0B7E"/>
    <w:rsid w:val="002C3BF3"/>
    <w:rsid w:val="002C47C8"/>
    <w:rsid w:val="002C6D31"/>
    <w:rsid w:val="002C720A"/>
    <w:rsid w:val="002D1DFB"/>
    <w:rsid w:val="002D2213"/>
    <w:rsid w:val="002D449E"/>
    <w:rsid w:val="002D61DE"/>
    <w:rsid w:val="002D62A8"/>
    <w:rsid w:val="002D667E"/>
    <w:rsid w:val="002D71D1"/>
    <w:rsid w:val="002E2607"/>
    <w:rsid w:val="002E2ACE"/>
    <w:rsid w:val="002E67F1"/>
    <w:rsid w:val="002E7093"/>
    <w:rsid w:val="002F09A5"/>
    <w:rsid w:val="002F0CB1"/>
    <w:rsid w:val="002F0FCC"/>
    <w:rsid w:val="002F6787"/>
    <w:rsid w:val="002F681C"/>
    <w:rsid w:val="00301BA9"/>
    <w:rsid w:val="0030225F"/>
    <w:rsid w:val="003035E0"/>
    <w:rsid w:val="0030385D"/>
    <w:rsid w:val="00311B5D"/>
    <w:rsid w:val="003159AA"/>
    <w:rsid w:val="003203E5"/>
    <w:rsid w:val="00323B35"/>
    <w:rsid w:val="003248C8"/>
    <w:rsid w:val="0032682B"/>
    <w:rsid w:val="0033072C"/>
    <w:rsid w:val="00330ED4"/>
    <w:rsid w:val="00330FB4"/>
    <w:rsid w:val="003315C8"/>
    <w:rsid w:val="00331FDA"/>
    <w:rsid w:val="00336BB6"/>
    <w:rsid w:val="00336C8C"/>
    <w:rsid w:val="00341032"/>
    <w:rsid w:val="00341FBE"/>
    <w:rsid w:val="0034270F"/>
    <w:rsid w:val="00342842"/>
    <w:rsid w:val="0034284A"/>
    <w:rsid w:val="003447DC"/>
    <w:rsid w:val="00344820"/>
    <w:rsid w:val="00344FBE"/>
    <w:rsid w:val="00346143"/>
    <w:rsid w:val="00346264"/>
    <w:rsid w:val="003463B5"/>
    <w:rsid w:val="00346729"/>
    <w:rsid w:val="00346AC1"/>
    <w:rsid w:val="00350814"/>
    <w:rsid w:val="003535A8"/>
    <w:rsid w:val="003536A9"/>
    <w:rsid w:val="00357513"/>
    <w:rsid w:val="0035EFC9"/>
    <w:rsid w:val="00360DB7"/>
    <w:rsid w:val="003613D1"/>
    <w:rsid w:val="00363842"/>
    <w:rsid w:val="00363B56"/>
    <w:rsid w:val="00365E61"/>
    <w:rsid w:val="00373A44"/>
    <w:rsid w:val="00375FC0"/>
    <w:rsid w:val="003808C0"/>
    <w:rsid w:val="003810CE"/>
    <w:rsid w:val="00382026"/>
    <w:rsid w:val="003821E4"/>
    <w:rsid w:val="0038331C"/>
    <w:rsid w:val="003836CA"/>
    <w:rsid w:val="0038450B"/>
    <w:rsid w:val="00386B3E"/>
    <w:rsid w:val="00393B7C"/>
    <w:rsid w:val="003940DD"/>
    <w:rsid w:val="0039471A"/>
    <w:rsid w:val="00394CC7"/>
    <w:rsid w:val="0039525F"/>
    <w:rsid w:val="0039796F"/>
    <w:rsid w:val="003A0CB1"/>
    <w:rsid w:val="003A14CC"/>
    <w:rsid w:val="003A240D"/>
    <w:rsid w:val="003B190B"/>
    <w:rsid w:val="003B2638"/>
    <w:rsid w:val="003B4EEC"/>
    <w:rsid w:val="003B6D86"/>
    <w:rsid w:val="003C0BA8"/>
    <w:rsid w:val="003C2F0E"/>
    <w:rsid w:val="003C3099"/>
    <w:rsid w:val="003C35FF"/>
    <w:rsid w:val="003C6095"/>
    <w:rsid w:val="003C682D"/>
    <w:rsid w:val="003D0EF5"/>
    <w:rsid w:val="003D22E6"/>
    <w:rsid w:val="003D3FE9"/>
    <w:rsid w:val="003D5212"/>
    <w:rsid w:val="003E1CD0"/>
    <w:rsid w:val="003E2BE6"/>
    <w:rsid w:val="003E4428"/>
    <w:rsid w:val="003E64F9"/>
    <w:rsid w:val="003E7CA6"/>
    <w:rsid w:val="003F61EA"/>
    <w:rsid w:val="003F7FD5"/>
    <w:rsid w:val="0040315F"/>
    <w:rsid w:val="00403EEF"/>
    <w:rsid w:val="0040469E"/>
    <w:rsid w:val="00405625"/>
    <w:rsid w:val="0041190A"/>
    <w:rsid w:val="0041414A"/>
    <w:rsid w:val="00422007"/>
    <w:rsid w:val="00422F54"/>
    <w:rsid w:val="0042373F"/>
    <w:rsid w:val="00424637"/>
    <w:rsid w:val="00426060"/>
    <w:rsid w:val="004300D1"/>
    <w:rsid w:val="0043105B"/>
    <w:rsid w:val="0043173E"/>
    <w:rsid w:val="00432747"/>
    <w:rsid w:val="004328C3"/>
    <w:rsid w:val="00432EB7"/>
    <w:rsid w:val="00434874"/>
    <w:rsid w:val="004367A3"/>
    <w:rsid w:val="00436DBD"/>
    <w:rsid w:val="00441A43"/>
    <w:rsid w:val="00442CE0"/>
    <w:rsid w:val="00447A2D"/>
    <w:rsid w:val="00450718"/>
    <w:rsid w:val="00452BF0"/>
    <w:rsid w:val="00454614"/>
    <w:rsid w:val="00455089"/>
    <w:rsid w:val="00455585"/>
    <w:rsid w:val="00456234"/>
    <w:rsid w:val="004566F6"/>
    <w:rsid w:val="004577E3"/>
    <w:rsid w:val="00461125"/>
    <w:rsid w:val="00465501"/>
    <w:rsid w:val="00471DF6"/>
    <w:rsid w:val="00471E97"/>
    <w:rsid w:val="00473CC6"/>
    <w:rsid w:val="00476E2C"/>
    <w:rsid w:val="00476E32"/>
    <w:rsid w:val="0048378C"/>
    <w:rsid w:val="004865E8"/>
    <w:rsid w:val="0048727C"/>
    <w:rsid w:val="004903F0"/>
    <w:rsid w:val="0049181B"/>
    <w:rsid w:val="00491B73"/>
    <w:rsid w:val="00491E18"/>
    <w:rsid w:val="004922F0"/>
    <w:rsid w:val="00492F6C"/>
    <w:rsid w:val="00493743"/>
    <w:rsid w:val="00497929"/>
    <w:rsid w:val="004A058D"/>
    <w:rsid w:val="004A15A1"/>
    <w:rsid w:val="004A2B75"/>
    <w:rsid w:val="004A3841"/>
    <w:rsid w:val="004A3CBB"/>
    <w:rsid w:val="004A43D8"/>
    <w:rsid w:val="004A4EC9"/>
    <w:rsid w:val="004A542F"/>
    <w:rsid w:val="004A6E9E"/>
    <w:rsid w:val="004A76D7"/>
    <w:rsid w:val="004B39FD"/>
    <w:rsid w:val="004B4839"/>
    <w:rsid w:val="004B5008"/>
    <w:rsid w:val="004C2241"/>
    <w:rsid w:val="004C2AAE"/>
    <w:rsid w:val="004C2B95"/>
    <w:rsid w:val="004C761C"/>
    <w:rsid w:val="004D2C16"/>
    <w:rsid w:val="004D3DA8"/>
    <w:rsid w:val="004D3DE1"/>
    <w:rsid w:val="004D7351"/>
    <w:rsid w:val="004D79A3"/>
    <w:rsid w:val="004E1F05"/>
    <w:rsid w:val="004E23A4"/>
    <w:rsid w:val="004E3DF4"/>
    <w:rsid w:val="004E4F4E"/>
    <w:rsid w:val="004E52BA"/>
    <w:rsid w:val="004E66CE"/>
    <w:rsid w:val="004E7322"/>
    <w:rsid w:val="004F0256"/>
    <w:rsid w:val="004F095D"/>
    <w:rsid w:val="004F1823"/>
    <w:rsid w:val="004F2E7C"/>
    <w:rsid w:val="004F3314"/>
    <w:rsid w:val="004F38BD"/>
    <w:rsid w:val="004F3C2C"/>
    <w:rsid w:val="004F40DC"/>
    <w:rsid w:val="004F6AB3"/>
    <w:rsid w:val="004F7316"/>
    <w:rsid w:val="00500EB7"/>
    <w:rsid w:val="005042CB"/>
    <w:rsid w:val="00504C27"/>
    <w:rsid w:val="005076AB"/>
    <w:rsid w:val="00507904"/>
    <w:rsid w:val="00507D64"/>
    <w:rsid w:val="00510F28"/>
    <w:rsid w:val="00511549"/>
    <w:rsid w:val="00513922"/>
    <w:rsid w:val="005146B5"/>
    <w:rsid w:val="0051673E"/>
    <w:rsid w:val="00516795"/>
    <w:rsid w:val="005207F6"/>
    <w:rsid w:val="00523B8C"/>
    <w:rsid w:val="005255D7"/>
    <w:rsid w:val="00525E59"/>
    <w:rsid w:val="00526A00"/>
    <w:rsid w:val="00530EAF"/>
    <w:rsid w:val="00530F84"/>
    <w:rsid w:val="005331AB"/>
    <w:rsid w:val="0053473D"/>
    <w:rsid w:val="00535C18"/>
    <w:rsid w:val="00543E76"/>
    <w:rsid w:val="0054607A"/>
    <w:rsid w:val="00547852"/>
    <w:rsid w:val="00547E38"/>
    <w:rsid w:val="005506B9"/>
    <w:rsid w:val="00552505"/>
    <w:rsid w:val="0056035D"/>
    <w:rsid w:val="00560FD4"/>
    <w:rsid w:val="0056113A"/>
    <w:rsid w:val="00565D5F"/>
    <w:rsid w:val="00566117"/>
    <w:rsid w:val="005719B9"/>
    <w:rsid w:val="005737CC"/>
    <w:rsid w:val="0057786D"/>
    <w:rsid w:val="005813E0"/>
    <w:rsid w:val="00581A97"/>
    <w:rsid w:val="005828DC"/>
    <w:rsid w:val="00582FD0"/>
    <w:rsid w:val="00583347"/>
    <w:rsid w:val="00583F0A"/>
    <w:rsid w:val="00584D34"/>
    <w:rsid w:val="005904A8"/>
    <w:rsid w:val="00590B05"/>
    <w:rsid w:val="0059119E"/>
    <w:rsid w:val="00591741"/>
    <w:rsid w:val="00591939"/>
    <w:rsid w:val="005920DE"/>
    <w:rsid w:val="00592544"/>
    <w:rsid w:val="0059277C"/>
    <w:rsid w:val="005963CB"/>
    <w:rsid w:val="005A29F3"/>
    <w:rsid w:val="005A3582"/>
    <w:rsid w:val="005A6C2B"/>
    <w:rsid w:val="005B1413"/>
    <w:rsid w:val="005B18CE"/>
    <w:rsid w:val="005B4B1F"/>
    <w:rsid w:val="005B6A24"/>
    <w:rsid w:val="005B6A44"/>
    <w:rsid w:val="005C02DA"/>
    <w:rsid w:val="005C277F"/>
    <w:rsid w:val="005C38ED"/>
    <w:rsid w:val="005C4086"/>
    <w:rsid w:val="005C45D2"/>
    <w:rsid w:val="005C54C1"/>
    <w:rsid w:val="005D0637"/>
    <w:rsid w:val="005D4947"/>
    <w:rsid w:val="005D49E5"/>
    <w:rsid w:val="005E3630"/>
    <w:rsid w:val="005E4C83"/>
    <w:rsid w:val="005E78DC"/>
    <w:rsid w:val="005F3643"/>
    <w:rsid w:val="005F543A"/>
    <w:rsid w:val="005F71C3"/>
    <w:rsid w:val="005F7E8C"/>
    <w:rsid w:val="00601201"/>
    <w:rsid w:val="006018DC"/>
    <w:rsid w:val="00602C18"/>
    <w:rsid w:val="00606495"/>
    <w:rsid w:val="006066B1"/>
    <w:rsid w:val="00610425"/>
    <w:rsid w:val="006106D1"/>
    <w:rsid w:val="00611126"/>
    <w:rsid w:val="0061601F"/>
    <w:rsid w:val="00616E03"/>
    <w:rsid w:val="00620A84"/>
    <w:rsid w:val="00621347"/>
    <w:rsid w:val="00622316"/>
    <w:rsid w:val="00622347"/>
    <w:rsid w:val="00624023"/>
    <w:rsid w:val="006240EF"/>
    <w:rsid w:val="00627C02"/>
    <w:rsid w:val="00630EF7"/>
    <w:rsid w:val="00631E9E"/>
    <w:rsid w:val="00633979"/>
    <w:rsid w:val="00633E68"/>
    <w:rsid w:val="006365BD"/>
    <w:rsid w:val="00636830"/>
    <w:rsid w:val="00641B03"/>
    <w:rsid w:val="006426D9"/>
    <w:rsid w:val="0064308C"/>
    <w:rsid w:val="00643ACA"/>
    <w:rsid w:val="00644722"/>
    <w:rsid w:val="006515D0"/>
    <w:rsid w:val="00652AFA"/>
    <w:rsid w:val="00653002"/>
    <w:rsid w:val="0066121C"/>
    <w:rsid w:val="00661960"/>
    <w:rsid w:val="00661E26"/>
    <w:rsid w:val="006622DB"/>
    <w:rsid w:val="006623E0"/>
    <w:rsid w:val="00662EE6"/>
    <w:rsid w:val="00671FA8"/>
    <w:rsid w:val="00673C52"/>
    <w:rsid w:val="00673F61"/>
    <w:rsid w:val="006802DE"/>
    <w:rsid w:val="00680831"/>
    <w:rsid w:val="00681053"/>
    <w:rsid w:val="00681CAD"/>
    <w:rsid w:val="006826DF"/>
    <w:rsid w:val="00683ECE"/>
    <w:rsid w:val="00684202"/>
    <w:rsid w:val="00687BA8"/>
    <w:rsid w:val="00690126"/>
    <w:rsid w:val="006902D4"/>
    <w:rsid w:val="00690310"/>
    <w:rsid w:val="00692717"/>
    <w:rsid w:val="00693271"/>
    <w:rsid w:val="0069357E"/>
    <w:rsid w:val="00695E35"/>
    <w:rsid w:val="006A1950"/>
    <w:rsid w:val="006A314F"/>
    <w:rsid w:val="006A3C49"/>
    <w:rsid w:val="006A45B1"/>
    <w:rsid w:val="006A6CB1"/>
    <w:rsid w:val="006A78F7"/>
    <w:rsid w:val="006B0C3A"/>
    <w:rsid w:val="006B134B"/>
    <w:rsid w:val="006B3254"/>
    <w:rsid w:val="006B3AE6"/>
    <w:rsid w:val="006B431C"/>
    <w:rsid w:val="006B4954"/>
    <w:rsid w:val="006B7320"/>
    <w:rsid w:val="006B74F3"/>
    <w:rsid w:val="006B7B56"/>
    <w:rsid w:val="006C26DF"/>
    <w:rsid w:val="006C4812"/>
    <w:rsid w:val="006C76E8"/>
    <w:rsid w:val="006D68C1"/>
    <w:rsid w:val="006E1D7A"/>
    <w:rsid w:val="006E27ED"/>
    <w:rsid w:val="006E28A1"/>
    <w:rsid w:val="006E2FAC"/>
    <w:rsid w:val="006E5C29"/>
    <w:rsid w:val="006E5CA4"/>
    <w:rsid w:val="006E60EE"/>
    <w:rsid w:val="006E7659"/>
    <w:rsid w:val="006F13B4"/>
    <w:rsid w:val="006F13DF"/>
    <w:rsid w:val="006F1DA2"/>
    <w:rsid w:val="006F226E"/>
    <w:rsid w:val="006F2919"/>
    <w:rsid w:val="006F2B63"/>
    <w:rsid w:val="006F4815"/>
    <w:rsid w:val="006F4D27"/>
    <w:rsid w:val="006F5561"/>
    <w:rsid w:val="00702BF0"/>
    <w:rsid w:val="0070397B"/>
    <w:rsid w:val="007040BF"/>
    <w:rsid w:val="00704ED8"/>
    <w:rsid w:val="00706D33"/>
    <w:rsid w:val="0070782A"/>
    <w:rsid w:val="00707A6B"/>
    <w:rsid w:val="00711374"/>
    <w:rsid w:val="007124D8"/>
    <w:rsid w:val="007162A3"/>
    <w:rsid w:val="00716EEE"/>
    <w:rsid w:val="00717DA4"/>
    <w:rsid w:val="00720647"/>
    <w:rsid w:val="0072198D"/>
    <w:rsid w:val="00721FC0"/>
    <w:rsid w:val="00722F8B"/>
    <w:rsid w:val="00725444"/>
    <w:rsid w:val="00725F63"/>
    <w:rsid w:val="00730F14"/>
    <w:rsid w:val="007319C4"/>
    <w:rsid w:val="00732050"/>
    <w:rsid w:val="00733B7C"/>
    <w:rsid w:val="007355CF"/>
    <w:rsid w:val="00740106"/>
    <w:rsid w:val="0074097A"/>
    <w:rsid w:val="00741F1C"/>
    <w:rsid w:val="00743B3E"/>
    <w:rsid w:val="00745D9C"/>
    <w:rsid w:val="00750172"/>
    <w:rsid w:val="00755680"/>
    <w:rsid w:val="007567C9"/>
    <w:rsid w:val="00757BFA"/>
    <w:rsid w:val="007604A2"/>
    <w:rsid w:val="007612B8"/>
    <w:rsid w:val="007616F2"/>
    <w:rsid w:val="00763658"/>
    <w:rsid w:val="00766798"/>
    <w:rsid w:val="00767C60"/>
    <w:rsid w:val="00771C4B"/>
    <w:rsid w:val="00772083"/>
    <w:rsid w:val="007739CA"/>
    <w:rsid w:val="007743D5"/>
    <w:rsid w:val="007758DA"/>
    <w:rsid w:val="00776AD8"/>
    <w:rsid w:val="0078000B"/>
    <w:rsid w:val="00780B84"/>
    <w:rsid w:val="00782142"/>
    <w:rsid w:val="007849E0"/>
    <w:rsid w:val="00784CEB"/>
    <w:rsid w:val="00785609"/>
    <w:rsid w:val="00792854"/>
    <w:rsid w:val="00792E67"/>
    <w:rsid w:val="007953B8"/>
    <w:rsid w:val="007962BB"/>
    <w:rsid w:val="00796A61"/>
    <w:rsid w:val="007A494F"/>
    <w:rsid w:val="007A72FA"/>
    <w:rsid w:val="007B32B9"/>
    <w:rsid w:val="007B6771"/>
    <w:rsid w:val="007C2172"/>
    <w:rsid w:val="007C4E09"/>
    <w:rsid w:val="007C7451"/>
    <w:rsid w:val="007D01A3"/>
    <w:rsid w:val="007D1B2C"/>
    <w:rsid w:val="007D1DB4"/>
    <w:rsid w:val="007D2579"/>
    <w:rsid w:val="007D39B0"/>
    <w:rsid w:val="007D4F62"/>
    <w:rsid w:val="007D7E07"/>
    <w:rsid w:val="007E0461"/>
    <w:rsid w:val="007E5978"/>
    <w:rsid w:val="007E5D04"/>
    <w:rsid w:val="007E6864"/>
    <w:rsid w:val="007E6CE6"/>
    <w:rsid w:val="007E7B31"/>
    <w:rsid w:val="007E7CB3"/>
    <w:rsid w:val="007F05EF"/>
    <w:rsid w:val="007F0738"/>
    <w:rsid w:val="007F0AA0"/>
    <w:rsid w:val="007F0FED"/>
    <w:rsid w:val="007F23EB"/>
    <w:rsid w:val="007F658B"/>
    <w:rsid w:val="007F6869"/>
    <w:rsid w:val="007F6BDE"/>
    <w:rsid w:val="00801155"/>
    <w:rsid w:val="008017AB"/>
    <w:rsid w:val="00801AC0"/>
    <w:rsid w:val="00802327"/>
    <w:rsid w:val="008024FD"/>
    <w:rsid w:val="008031D0"/>
    <w:rsid w:val="00803633"/>
    <w:rsid w:val="00810A4A"/>
    <w:rsid w:val="008151EE"/>
    <w:rsid w:val="008158FA"/>
    <w:rsid w:val="00820B05"/>
    <w:rsid w:val="00830302"/>
    <w:rsid w:val="008316F8"/>
    <w:rsid w:val="0083208E"/>
    <w:rsid w:val="0083649D"/>
    <w:rsid w:val="0083696C"/>
    <w:rsid w:val="008422FE"/>
    <w:rsid w:val="00843097"/>
    <w:rsid w:val="0084457C"/>
    <w:rsid w:val="00844BAB"/>
    <w:rsid w:val="00844CDE"/>
    <w:rsid w:val="0084525F"/>
    <w:rsid w:val="00845B82"/>
    <w:rsid w:val="00846FD5"/>
    <w:rsid w:val="00853199"/>
    <w:rsid w:val="00853239"/>
    <w:rsid w:val="00854817"/>
    <w:rsid w:val="00855043"/>
    <w:rsid w:val="00855BBC"/>
    <w:rsid w:val="00856A42"/>
    <w:rsid w:val="00857610"/>
    <w:rsid w:val="00860E79"/>
    <w:rsid w:val="00862337"/>
    <w:rsid w:val="008662A1"/>
    <w:rsid w:val="0086646F"/>
    <w:rsid w:val="00867A41"/>
    <w:rsid w:val="00875092"/>
    <w:rsid w:val="008751BA"/>
    <w:rsid w:val="00876AFE"/>
    <w:rsid w:val="00876D2C"/>
    <w:rsid w:val="008778AE"/>
    <w:rsid w:val="008800F0"/>
    <w:rsid w:val="00880EB2"/>
    <w:rsid w:val="00885F33"/>
    <w:rsid w:val="008933A5"/>
    <w:rsid w:val="00894E21"/>
    <w:rsid w:val="0089546D"/>
    <w:rsid w:val="00895F07"/>
    <w:rsid w:val="00897AD6"/>
    <w:rsid w:val="008A0578"/>
    <w:rsid w:val="008A0B72"/>
    <w:rsid w:val="008A3EB5"/>
    <w:rsid w:val="008B0A28"/>
    <w:rsid w:val="008B41F5"/>
    <w:rsid w:val="008C0C7A"/>
    <w:rsid w:val="008C287D"/>
    <w:rsid w:val="008C306F"/>
    <w:rsid w:val="008C3E02"/>
    <w:rsid w:val="008C47F8"/>
    <w:rsid w:val="008D2601"/>
    <w:rsid w:val="008D38E9"/>
    <w:rsid w:val="008D425D"/>
    <w:rsid w:val="008D45D1"/>
    <w:rsid w:val="008D50F8"/>
    <w:rsid w:val="008E0B1D"/>
    <w:rsid w:val="008E16F2"/>
    <w:rsid w:val="008E2B21"/>
    <w:rsid w:val="008E3B26"/>
    <w:rsid w:val="008E471A"/>
    <w:rsid w:val="008E5630"/>
    <w:rsid w:val="008E6F05"/>
    <w:rsid w:val="008F0C92"/>
    <w:rsid w:val="008F0D87"/>
    <w:rsid w:val="008F1B29"/>
    <w:rsid w:val="008F1B3D"/>
    <w:rsid w:val="008F342A"/>
    <w:rsid w:val="008F57F5"/>
    <w:rsid w:val="009006D1"/>
    <w:rsid w:val="009015A0"/>
    <w:rsid w:val="00907F14"/>
    <w:rsid w:val="00911048"/>
    <w:rsid w:val="009112F3"/>
    <w:rsid w:val="00911DAF"/>
    <w:rsid w:val="00912D06"/>
    <w:rsid w:val="00914176"/>
    <w:rsid w:val="00914B17"/>
    <w:rsid w:val="00920AFB"/>
    <w:rsid w:val="00920C74"/>
    <w:rsid w:val="00920ECD"/>
    <w:rsid w:val="009213F8"/>
    <w:rsid w:val="009231A1"/>
    <w:rsid w:val="00924A38"/>
    <w:rsid w:val="009260CD"/>
    <w:rsid w:val="009266FB"/>
    <w:rsid w:val="00927E39"/>
    <w:rsid w:val="00930DE2"/>
    <w:rsid w:val="009325C3"/>
    <w:rsid w:val="00932CD6"/>
    <w:rsid w:val="0093360D"/>
    <w:rsid w:val="0093572B"/>
    <w:rsid w:val="00936032"/>
    <w:rsid w:val="009449EB"/>
    <w:rsid w:val="0094513C"/>
    <w:rsid w:val="009469FD"/>
    <w:rsid w:val="00947B12"/>
    <w:rsid w:val="00950BEB"/>
    <w:rsid w:val="00955294"/>
    <w:rsid w:val="009569F5"/>
    <w:rsid w:val="00961187"/>
    <w:rsid w:val="009635FC"/>
    <w:rsid w:val="009654F8"/>
    <w:rsid w:val="00967744"/>
    <w:rsid w:val="0097064B"/>
    <w:rsid w:val="00971A2D"/>
    <w:rsid w:val="00973527"/>
    <w:rsid w:val="009745DD"/>
    <w:rsid w:val="009754C2"/>
    <w:rsid w:val="0097583D"/>
    <w:rsid w:val="0098288B"/>
    <w:rsid w:val="00982B01"/>
    <w:rsid w:val="0098797D"/>
    <w:rsid w:val="00991348"/>
    <w:rsid w:val="00991F03"/>
    <w:rsid w:val="00993E6E"/>
    <w:rsid w:val="009941E3"/>
    <w:rsid w:val="009A14BF"/>
    <w:rsid w:val="009A1745"/>
    <w:rsid w:val="009A37C9"/>
    <w:rsid w:val="009A66D8"/>
    <w:rsid w:val="009A7722"/>
    <w:rsid w:val="009B52DA"/>
    <w:rsid w:val="009B5BC2"/>
    <w:rsid w:val="009B6F56"/>
    <w:rsid w:val="009C04FD"/>
    <w:rsid w:val="009C20D3"/>
    <w:rsid w:val="009C390E"/>
    <w:rsid w:val="009C4E23"/>
    <w:rsid w:val="009C7CF7"/>
    <w:rsid w:val="009D5DAD"/>
    <w:rsid w:val="009D7319"/>
    <w:rsid w:val="009E1060"/>
    <w:rsid w:val="009E16EF"/>
    <w:rsid w:val="009E4DC4"/>
    <w:rsid w:val="009E5B1B"/>
    <w:rsid w:val="009F066A"/>
    <w:rsid w:val="009F0964"/>
    <w:rsid w:val="009F19D4"/>
    <w:rsid w:val="009F1AAD"/>
    <w:rsid w:val="009F7376"/>
    <w:rsid w:val="00A007F9"/>
    <w:rsid w:val="00A00BF8"/>
    <w:rsid w:val="00A01BE9"/>
    <w:rsid w:val="00A042C4"/>
    <w:rsid w:val="00A0579C"/>
    <w:rsid w:val="00A060AB"/>
    <w:rsid w:val="00A078CD"/>
    <w:rsid w:val="00A137B6"/>
    <w:rsid w:val="00A14326"/>
    <w:rsid w:val="00A16589"/>
    <w:rsid w:val="00A17E95"/>
    <w:rsid w:val="00A21308"/>
    <w:rsid w:val="00A219BB"/>
    <w:rsid w:val="00A21DA4"/>
    <w:rsid w:val="00A23109"/>
    <w:rsid w:val="00A24AA3"/>
    <w:rsid w:val="00A2551E"/>
    <w:rsid w:val="00A2613E"/>
    <w:rsid w:val="00A33D5E"/>
    <w:rsid w:val="00A370EA"/>
    <w:rsid w:val="00A43E26"/>
    <w:rsid w:val="00A4476A"/>
    <w:rsid w:val="00A467F2"/>
    <w:rsid w:val="00A46F86"/>
    <w:rsid w:val="00A47964"/>
    <w:rsid w:val="00A551DF"/>
    <w:rsid w:val="00A5624F"/>
    <w:rsid w:val="00A576F3"/>
    <w:rsid w:val="00A57C3A"/>
    <w:rsid w:val="00A61E7B"/>
    <w:rsid w:val="00A64A45"/>
    <w:rsid w:val="00A65A33"/>
    <w:rsid w:val="00A70594"/>
    <w:rsid w:val="00A736C0"/>
    <w:rsid w:val="00A77820"/>
    <w:rsid w:val="00A77E63"/>
    <w:rsid w:val="00A9064F"/>
    <w:rsid w:val="00A91738"/>
    <w:rsid w:val="00A932DB"/>
    <w:rsid w:val="00A93C83"/>
    <w:rsid w:val="00A93D2B"/>
    <w:rsid w:val="00A967AC"/>
    <w:rsid w:val="00A9740D"/>
    <w:rsid w:val="00AA2280"/>
    <w:rsid w:val="00AA4200"/>
    <w:rsid w:val="00AA55D8"/>
    <w:rsid w:val="00AA7DEA"/>
    <w:rsid w:val="00AB0809"/>
    <w:rsid w:val="00AB1CCF"/>
    <w:rsid w:val="00AB68DF"/>
    <w:rsid w:val="00AC7288"/>
    <w:rsid w:val="00AD3C23"/>
    <w:rsid w:val="00AD4D17"/>
    <w:rsid w:val="00AD57FF"/>
    <w:rsid w:val="00AD6596"/>
    <w:rsid w:val="00AE0019"/>
    <w:rsid w:val="00AE03D1"/>
    <w:rsid w:val="00AE2D92"/>
    <w:rsid w:val="00AE40EF"/>
    <w:rsid w:val="00AE5656"/>
    <w:rsid w:val="00AF38D1"/>
    <w:rsid w:val="00B03E47"/>
    <w:rsid w:val="00B04D61"/>
    <w:rsid w:val="00B0621A"/>
    <w:rsid w:val="00B11EB8"/>
    <w:rsid w:val="00B130F1"/>
    <w:rsid w:val="00B13A70"/>
    <w:rsid w:val="00B14558"/>
    <w:rsid w:val="00B150A9"/>
    <w:rsid w:val="00B15988"/>
    <w:rsid w:val="00B25CCF"/>
    <w:rsid w:val="00B34060"/>
    <w:rsid w:val="00B36BCF"/>
    <w:rsid w:val="00B42F8B"/>
    <w:rsid w:val="00B43527"/>
    <w:rsid w:val="00B4506C"/>
    <w:rsid w:val="00B4570F"/>
    <w:rsid w:val="00B46364"/>
    <w:rsid w:val="00B47FCB"/>
    <w:rsid w:val="00B518D6"/>
    <w:rsid w:val="00B52946"/>
    <w:rsid w:val="00B56F4F"/>
    <w:rsid w:val="00B57069"/>
    <w:rsid w:val="00B60AE2"/>
    <w:rsid w:val="00B628A3"/>
    <w:rsid w:val="00B66561"/>
    <w:rsid w:val="00B73523"/>
    <w:rsid w:val="00B75F4C"/>
    <w:rsid w:val="00B7629D"/>
    <w:rsid w:val="00B774BE"/>
    <w:rsid w:val="00B805E2"/>
    <w:rsid w:val="00B8072E"/>
    <w:rsid w:val="00B83081"/>
    <w:rsid w:val="00B832CD"/>
    <w:rsid w:val="00B85E7F"/>
    <w:rsid w:val="00B86584"/>
    <w:rsid w:val="00B87BBA"/>
    <w:rsid w:val="00B9232A"/>
    <w:rsid w:val="00B924E0"/>
    <w:rsid w:val="00B93879"/>
    <w:rsid w:val="00B94157"/>
    <w:rsid w:val="00B94E1D"/>
    <w:rsid w:val="00B950B3"/>
    <w:rsid w:val="00BA2D86"/>
    <w:rsid w:val="00BA61FE"/>
    <w:rsid w:val="00BB07F8"/>
    <w:rsid w:val="00BB5DB3"/>
    <w:rsid w:val="00BB6DE0"/>
    <w:rsid w:val="00BB729C"/>
    <w:rsid w:val="00BB75F7"/>
    <w:rsid w:val="00BC1EA5"/>
    <w:rsid w:val="00BC3221"/>
    <w:rsid w:val="00BC73D7"/>
    <w:rsid w:val="00BC7E41"/>
    <w:rsid w:val="00BD576D"/>
    <w:rsid w:val="00BE6072"/>
    <w:rsid w:val="00BF2F95"/>
    <w:rsid w:val="00BF4278"/>
    <w:rsid w:val="00BF5688"/>
    <w:rsid w:val="00BF6A35"/>
    <w:rsid w:val="00C00AF6"/>
    <w:rsid w:val="00C04C79"/>
    <w:rsid w:val="00C04DB9"/>
    <w:rsid w:val="00C066CF"/>
    <w:rsid w:val="00C068F9"/>
    <w:rsid w:val="00C1062D"/>
    <w:rsid w:val="00C10650"/>
    <w:rsid w:val="00C12EF8"/>
    <w:rsid w:val="00C138E5"/>
    <w:rsid w:val="00C158D6"/>
    <w:rsid w:val="00C1699A"/>
    <w:rsid w:val="00C1722B"/>
    <w:rsid w:val="00C17A69"/>
    <w:rsid w:val="00C2086A"/>
    <w:rsid w:val="00C2228F"/>
    <w:rsid w:val="00C22D25"/>
    <w:rsid w:val="00C23434"/>
    <w:rsid w:val="00C2713F"/>
    <w:rsid w:val="00C32A69"/>
    <w:rsid w:val="00C37E99"/>
    <w:rsid w:val="00C42946"/>
    <w:rsid w:val="00C42F55"/>
    <w:rsid w:val="00C47F13"/>
    <w:rsid w:val="00C52A5B"/>
    <w:rsid w:val="00C545CE"/>
    <w:rsid w:val="00C551B4"/>
    <w:rsid w:val="00C5648C"/>
    <w:rsid w:val="00C61721"/>
    <w:rsid w:val="00C660D5"/>
    <w:rsid w:val="00C67D29"/>
    <w:rsid w:val="00C7123B"/>
    <w:rsid w:val="00C75A8F"/>
    <w:rsid w:val="00C770E8"/>
    <w:rsid w:val="00C810DA"/>
    <w:rsid w:val="00C82337"/>
    <w:rsid w:val="00C83268"/>
    <w:rsid w:val="00C8503F"/>
    <w:rsid w:val="00C874ED"/>
    <w:rsid w:val="00C9255B"/>
    <w:rsid w:val="00C934E4"/>
    <w:rsid w:val="00C95553"/>
    <w:rsid w:val="00CA117B"/>
    <w:rsid w:val="00CA1230"/>
    <w:rsid w:val="00CA5CE0"/>
    <w:rsid w:val="00CB1436"/>
    <w:rsid w:val="00CB4CA8"/>
    <w:rsid w:val="00CB6230"/>
    <w:rsid w:val="00CB72DD"/>
    <w:rsid w:val="00CC4827"/>
    <w:rsid w:val="00CC7DE3"/>
    <w:rsid w:val="00CD3A66"/>
    <w:rsid w:val="00CD58AF"/>
    <w:rsid w:val="00CD5960"/>
    <w:rsid w:val="00CD689E"/>
    <w:rsid w:val="00CE1DE9"/>
    <w:rsid w:val="00CE421E"/>
    <w:rsid w:val="00CE5047"/>
    <w:rsid w:val="00CE5BE6"/>
    <w:rsid w:val="00CE6044"/>
    <w:rsid w:val="00CE6397"/>
    <w:rsid w:val="00CE695B"/>
    <w:rsid w:val="00CF00FC"/>
    <w:rsid w:val="00CF0D90"/>
    <w:rsid w:val="00CF142C"/>
    <w:rsid w:val="00CF3D7D"/>
    <w:rsid w:val="00CF50A6"/>
    <w:rsid w:val="00D005BB"/>
    <w:rsid w:val="00D02D72"/>
    <w:rsid w:val="00D03247"/>
    <w:rsid w:val="00D04401"/>
    <w:rsid w:val="00D04788"/>
    <w:rsid w:val="00D0529A"/>
    <w:rsid w:val="00D07756"/>
    <w:rsid w:val="00D07E21"/>
    <w:rsid w:val="00D1067C"/>
    <w:rsid w:val="00D12EFD"/>
    <w:rsid w:val="00D1313B"/>
    <w:rsid w:val="00D14266"/>
    <w:rsid w:val="00D159E5"/>
    <w:rsid w:val="00D15EE2"/>
    <w:rsid w:val="00D16495"/>
    <w:rsid w:val="00D16860"/>
    <w:rsid w:val="00D174E8"/>
    <w:rsid w:val="00D1769C"/>
    <w:rsid w:val="00D212C2"/>
    <w:rsid w:val="00D24B0B"/>
    <w:rsid w:val="00D25272"/>
    <w:rsid w:val="00D26CA2"/>
    <w:rsid w:val="00D278B8"/>
    <w:rsid w:val="00D30A2A"/>
    <w:rsid w:val="00D31C6E"/>
    <w:rsid w:val="00D33101"/>
    <w:rsid w:val="00D3519A"/>
    <w:rsid w:val="00D371C6"/>
    <w:rsid w:val="00D37996"/>
    <w:rsid w:val="00D40139"/>
    <w:rsid w:val="00D4175D"/>
    <w:rsid w:val="00D438CD"/>
    <w:rsid w:val="00D452F9"/>
    <w:rsid w:val="00D47C1A"/>
    <w:rsid w:val="00D50BB6"/>
    <w:rsid w:val="00D50DCF"/>
    <w:rsid w:val="00D54C2A"/>
    <w:rsid w:val="00D55A8A"/>
    <w:rsid w:val="00D61CA8"/>
    <w:rsid w:val="00D62DDD"/>
    <w:rsid w:val="00D66736"/>
    <w:rsid w:val="00D71F10"/>
    <w:rsid w:val="00D736FF"/>
    <w:rsid w:val="00D739BF"/>
    <w:rsid w:val="00D75422"/>
    <w:rsid w:val="00D75838"/>
    <w:rsid w:val="00D77267"/>
    <w:rsid w:val="00D77A99"/>
    <w:rsid w:val="00D81FB6"/>
    <w:rsid w:val="00D82231"/>
    <w:rsid w:val="00D823CF"/>
    <w:rsid w:val="00D82A99"/>
    <w:rsid w:val="00D83E86"/>
    <w:rsid w:val="00D84F16"/>
    <w:rsid w:val="00D85001"/>
    <w:rsid w:val="00D86BBB"/>
    <w:rsid w:val="00D87841"/>
    <w:rsid w:val="00D87FC6"/>
    <w:rsid w:val="00D92639"/>
    <w:rsid w:val="00D926F4"/>
    <w:rsid w:val="00D936CA"/>
    <w:rsid w:val="00D943DD"/>
    <w:rsid w:val="00D948D6"/>
    <w:rsid w:val="00DA0E74"/>
    <w:rsid w:val="00DA1E09"/>
    <w:rsid w:val="00DA3F4D"/>
    <w:rsid w:val="00DA7AA8"/>
    <w:rsid w:val="00DA7DCE"/>
    <w:rsid w:val="00DB1CAE"/>
    <w:rsid w:val="00DB25CD"/>
    <w:rsid w:val="00DB520D"/>
    <w:rsid w:val="00DC1137"/>
    <w:rsid w:val="00DC192D"/>
    <w:rsid w:val="00DC2BF4"/>
    <w:rsid w:val="00DD2D21"/>
    <w:rsid w:val="00DD46A7"/>
    <w:rsid w:val="00DD5E59"/>
    <w:rsid w:val="00DE33D2"/>
    <w:rsid w:val="00DE4194"/>
    <w:rsid w:val="00DE4491"/>
    <w:rsid w:val="00DE689C"/>
    <w:rsid w:val="00DE790C"/>
    <w:rsid w:val="00DE79F1"/>
    <w:rsid w:val="00DF1250"/>
    <w:rsid w:val="00DF2136"/>
    <w:rsid w:val="00DF5C8C"/>
    <w:rsid w:val="00E039D2"/>
    <w:rsid w:val="00E05232"/>
    <w:rsid w:val="00E0685E"/>
    <w:rsid w:val="00E071E2"/>
    <w:rsid w:val="00E0738B"/>
    <w:rsid w:val="00E111AF"/>
    <w:rsid w:val="00E111DE"/>
    <w:rsid w:val="00E11ED8"/>
    <w:rsid w:val="00E11F76"/>
    <w:rsid w:val="00E172FB"/>
    <w:rsid w:val="00E203CC"/>
    <w:rsid w:val="00E20DB7"/>
    <w:rsid w:val="00E20E06"/>
    <w:rsid w:val="00E22EB3"/>
    <w:rsid w:val="00E251D9"/>
    <w:rsid w:val="00E26339"/>
    <w:rsid w:val="00E268BF"/>
    <w:rsid w:val="00E26C65"/>
    <w:rsid w:val="00E27623"/>
    <w:rsid w:val="00E30519"/>
    <w:rsid w:val="00E320A6"/>
    <w:rsid w:val="00E35A86"/>
    <w:rsid w:val="00E36485"/>
    <w:rsid w:val="00E40136"/>
    <w:rsid w:val="00E43525"/>
    <w:rsid w:val="00E50063"/>
    <w:rsid w:val="00E51DD0"/>
    <w:rsid w:val="00E54A1D"/>
    <w:rsid w:val="00E555A9"/>
    <w:rsid w:val="00E567FB"/>
    <w:rsid w:val="00E5765A"/>
    <w:rsid w:val="00E57695"/>
    <w:rsid w:val="00E578E1"/>
    <w:rsid w:val="00E67126"/>
    <w:rsid w:val="00E710A6"/>
    <w:rsid w:val="00E711C6"/>
    <w:rsid w:val="00E717C6"/>
    <w:rsid w:val="00E7219D"/>
    <w:rsid w:val="00E7234C"/>
    <w:rsid w:val="00E73FEE"/>
    <w:rsid w:val="00E814B5"/>
    <w:rsid w:val="00E85221"/>
    <w:rsid w:val="00E8655D"/>
    <w:rsid w:val="00E92CD1"/>
    <w:rsid w:val="00E959E5"/>
    <w:rsid w:val="00E966A7"/>
    <w:rsid w:val="00E97476"/>
    <w:rsid w:val="00EA07F5"/>
    <w:rsid w:val="00EA63EC"/>
    <w:rsid w:val="00EB3291"/>
    <w:rsid w:val="00EC0428"/>
    <w:rsid w:val="00EC097F"/>
    <w:rsid w:val="00EC0EDB"/>
    <w:rsid w:val="00EC101B"/>
    <w:rsid w:val="00EC1E98"/>
    <w:rsid w:val="00EC2290"/>
    <w:rsid w:val="00EC2881"/>
    <w:rsid w:val="00EC38F0"/>
    <w:rsid w:val="00EC5DE4"/>
    <w:rsid w:val="00ED0697"/>
    <w:rsid w:val="00ED1A13"/>
    <w:rsid w:val="00ED1AF1"/>
    <w:rsid w:val="00ED2586"/>
    <w:rsid w:val="00ED3BAF"/>
    <w:rsid w:val="00ED3F1A"/>
    <w:rsid w:val="00ED56B9"/>
    <w:rsid w:val="00ED5D5B"/>
    <w:rsid w:val="00ED7B62"/>
    <w:rsid w:val="00EE3BCF"/>
    <w:rsid w:val="00EE45F4"/>
    <w:rsid w:val="00EE6FB6"/>
    <w:rsid w:val="00EF44AC"/>
    <w:rsid w:val="00EF5A31"/>
    <w:rsid w:val="00EF61B5"/>
    <w:rsid w:val="00EF7B9D"/>
    <w:rsid w:val="00F0049A"/>
    <w:rsid w:val="00F00514"/>
    <w:rsid w:val="00F0192F"/>
    <w:rsid w:val="00F019A2"/>
    <w:rsid w:val="00F02FA6"/>
    <w:rsid w:val="00F03BC8"/>
    <w:rsid w:val="00F065F5"/>
    <w:rsid w:val="00F07D28"/>
    <w:rsid w:val="00F11412"/>
    <w:rsid w:val="00F126D9"/>
    <w:rsid w:val="00F12B84"/>
    <w:rsid w:val="00F15F37"/>
    <w:rsid w:val="00F21429"/>
    <w:rsid w:val="00F21D8E"/>
    <w:rsid w:val="00F31338"/>
    <w:rsid w:val="00F31A1D"/>
    <w:rsid w:val="00F35DEF"/>
    <w:rsid w:val="00F35FCB"/>
    <w:rsid w:val="00F369CC"/>
    <w:rsid w:val="00F37398"/>
    <w:rsid w:val="00F41700"/>
    <w:rsid w:val="00F41E1A"/>
    <w:rsid w:val="00F458D2"/>
    <w:rsid w:val="00F46636"/>
    <w:rsid w:val="00F512B4"/>
    <w:rsid w:val="00F5217C"/>
    <w:rsid w:val="00F527BD"/>
    <w:rsid w:val="00F52E8A"/>
    <w:rsid w:val="00F52F5F"/>
    <w:rsid w:val="00F56BD8"/>
    <w:rsid w:val="00F57E19"/>
    <w:rsid w:val="00F60494"/>
    <w:rsid w:val="00F609C1"/>
    <w:rsid w:val="00F643BA"/>
    <w:rsid w:val="00F65BAA"/>
    <w:rsid w:val="00F66842"/>
    <w:rsid w:val="00F700BF"/>
    <w:rsid w:val="00F70C52"/>
    <w:rsid w:val="00F7182E"/>
    <w:rsid w:val="00F7350E"/>
    <w:rsid w:val="00F75166"/>
    <w:rsid w:val="00F76AAA"/>
    <w:rsid w:val="00F76C7A"/>
    <w:rsid w:val="00F778D9"/>
    <w:rsid w:val="00F82078"/>
    <w:rsid w:val="00F8337B"/>
    <w:rsid w:val="00F90E9F"/>
    <w:rsid w:val="00F9491F"/>
    <w:rsid w:val="00F95A28"/>
    <w:rsid w:val="00F95C53"/>
    <w:rsid w:val="00F97D0F"/>
    <w:rsid w:val="00FA0270"/>
    <w:rsid w:val="00FA1E48"/>
    <w:rsid w:val="00FA3B56"/>
    <w:rsid w:val="00FA4DB3"/>
    <w:rsid w:val="00FA59D2"/>
    <w:rsid w:val="00FA6A22"/>
    <w:rsid w:val="00FA7826"/>
    <w:rsid w:val="00FB008A"/>
    <w:rsid w:val="00FB0F4E"/>
    <w:rsid w:val="00FB145C"/>
    <w:rsid w:val="00FB2C4C"/>
    <w:rsid w:val="00FB2E5F"/>
    <w:rsid w:val="00FB304C"/>
    <w:rsid w:val="00FB4221"/>
    <w:rsid w:val="00FB5526"/>
    <w:rsid w:val="00FC1A7F"/>
    <w:rsid w:val="00FC3FC3"/>
    <w:rsid w:val="00FC5184"/>
    <w:rsid w:val="00FC7B10"/>
    <w:rsid w:val="00FD09FB"/>
    <w:rsid w:val="00FD0E89"/>
    <w:rsid w:val="00FD1061"/>
    <w:rsid w:val="00FD2675"/>
    <w:rsid w:val="00FD4E7D"/>
    <w:rsid w:val="00FD5DF3"/>
    <w:rsid w:val="00FE0B26"/>
    <w:rsid w:val="00FE124C"/>
    <w:rsid w:val="00FF2637"/>
    <w:rsid w:val="05B6089B"/>
    <w:rsid w:val="0707D6A2"/>
    <w:rsid w:val="07A01307"/>
    <w:rsid w:val="0A746399"/>
    <w:rsid w:val="0D12E536"/>
    <w:rsid w:val="0DEA11BE"/>
    <w:rsid w:val="11215719"/>
    <w:rsid w:val="1233351A"/>
    <w:rsid w:val="13C80232"/>
    <w:rsid w:val="1409B749"/>
    <w:rsid w:val="16560F13"/>
    <w:rsid w:val="16734C6E"/>
    <w:rsid w:val="16C99B91"/>
    <w:rsid w:val="189300EC"/>
    <w:rsid w:val="1BC6FEC3"/>
    <w:rsid w:val="1CEE67E9"/>
    <w:rsid w:val="1F92EA6E"/>
    <w:rsid w:val="20AD4205"/>
    <w:rsid w:val="214355C3"/>
    <w:rsid w:val="258712FE"/>
    <w:rsid w:val="28DD4575"/>
    <w:rsid w:val="29671054"/>
    <w:rsid w:val="296EAEB4"/>
    <w:rsid w:val="2CEA5253"/>
    <w:rsid w:val="2E867C7D"/>
    <w:rsid w:val="333BA7AD"/>
    <w:rsid w:val="3540E6EC"/>
    <w:rsid w:val="356141E2"/>
    <w:rsid w:val="3C3FD7CA"/>
    <w:rsid w:val="3DBD55CA"/>
    <w:rsid w:val="3E4743A8"/>
    <w:rsid w:val="3E92E603"/>
    <w:rsid w:val="3EBF5E3C"/>
    <w:rsid w:val="3F0DBCCA"/>
    <w:rsid w:val="40475DEE"/>
    <w:rsid w:val="41C1E220"/>
    <w:rsid w:val="45099940"/>
    <w:rsid w:val="45CE63C8"/>
    <w:rsid w:val="46124DE8"/>
    <w:rsid w:val="47259A15"/>
    <w:rsid w:val="47A69D20"/>
    <w:rsid w:val="47CC348E"/>
    <w:rsid w:val="4C61F28C"/>
    <w:rsid w:val="50ECCC6B"/>
    <w:rsid w:val="52D53E21"/>
    <w:rsid w:val="53A861FE"/>
    <w:rsid w:val="542F48E7"/>
    <w:rsid w:val="54C19442"/>
    <w:rsid w:val="55F2BC22"/>
    <w:rsid w:val="57156F43"/>
    <w:rsid w:val="5A267B27"/>
    <w:rsid w:val="5CC99B24"/>
    <w:rsid w:val="5CE2AB07"/>
    <w:rsid w:val="5CE2D9D6"/>
    <w:rsid w:val="5D326EEC"/>
    <w:rsid w:val="5E6F437C"/>
    <w:rsid w:val="5F7021D0"/>
    <w:rsid w:val="5FA2FF3E"/>
    <w:rsid w:val="6318662E"/>
    <w:rsid w:val="642BE94B"/>
    <w:rsid w:val="6466EB23"/>
    <w:rsid w:val="64FD060B"/>
    <w:rsid w:val="67409C58"/>
    <w:rsid w:val="68EFDC80"/>
    <w:rsid w:val="697C5877"/>
    <w:rsid w:val="69B25813"/>
    <w:rsid w:val="69C74ADC"/>
    <w:rsid w:val="6AD4659A"/>
    <w:rsid w:val="6CE0E54A"/>
    <w:rsid w:val="712112A7"/>
    <w:rsid w:val="73EF959D"/>
    <w:rsid w:val="74DA7C38"/>
    <w:rsid w:val="75F692EB"/>
    <w:rsid w:val="7712E72C"/>
    <w:rsid w:val="7735F427"/>
    <w:rsid w:val="777CE614"/>
    <w:rsid w:val="77EE2646"/>
    <w:rsid w:val="7A47B9B3"/>
    <w:rsid w:val="7D78912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48FF7C"/>
  <w15:docId w15:val="{0B59B305-F9FE-4B8F-9A07-2F2B20FFC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uiPriority="99"/>
    <w:lsdException w:name="List Continue 3" w:uiPriority="99"/>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503F"/>
  </w:style>
  <w:style w:type="paragraph" w:styleId="Heading1">
    <w:name w:val="heading 1"/>
    <w:basedOn w:val="Normal"/>
    <w:next w:val="Normal"/>
    <w:qFormat/>
    <w:pPr>
      <w:keepNext/>
      <w:spacing w:after="10"/>
      <w:jc w:val="right"/>
      <w:outlineLvl w:val="0"/>
    </w:pPr>
    <w:rPr>
      <w:b/>
      <w:sz w:val="15"/>
    </w:rPr>
  </w:style>
  <w:style w:type="paragraph" w:styleId="Heading2">
    <w:name w:val="heading 2"/>
    <w:basedOn w:val="Normal"/>
    <w:next w:val="Normal"/>
    <w:qFormat/>
    <w:pPr>
      <w:keepNext/>
      <w:spacing w:after="4"/>
      <w:jc w:val="right"/>
      <w:outlineLvl w:val="1"/>
    </w:pPr>
    <w:rPr>
      <w:b/>
      <w:sz w:val="17"/>
    </w:rPr>
  </w:style>
  <w:style w:type="paragraph" w:styleId="Heading3">
    <w:name w:val="heading 3"/>
    <w:basedOn w:val="Normal"/>
    <w:next w:val="Normal"/>
    <w:link w:val="Heading3Char"/>
    <w:qFormat/>
    <w:pPr>
      <w:keepNext/>
      <w:outlineLvl w:val="2"/>
    </w:pPr>
    <w:rPr>
      <w:b/>
      <w:i/>
      <w:sz w:val="72"/>
    </w:rPr>
  </w:style>
  <w:style w:type="paragraph" w:styleId="Heading4">
    <w:name w:val="heading 4"/>
    <w:basedOn w:val="Normal"/>
    <w:next w:val="Normal"/>
    <w:qFormat/>
    <w:pPr>
      <w:keepNext/>
      <w:pBdr>
        <w:left w:val="single" w:sz="4" w:space="4" w:color="auto"/>
        <w:bottom w:val="single" w:sz="4" w:space="1" w:color="auto"/>
        <w:right w:val="single" w:sz="4" w:space="4" w:color="auto"/>
      </w:pBdr>
      <w:outlineLvl w:val="3"/>
    </w:pPr>
    <w:rPr>
      <w:b/>
      <w:spacing w:val="20"/>
      <w:sz w:val="17"/>
    </w:rPr>
  </w:style>
  <w:style w:type="paragraph" w:styleId="Heading5">
    <w:name w:val="heading 5"/>
    <w:basedOn w:val="Normal"/>
    <w:next w:val="Normal"/>
    <w:link w:val="Heading5Char"/>
    <w:semiHidden/>
    <w:unhideWhenUsed/>
    <w:qFormat/>
    <w:rsid w:val="005920DE"/>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BlockText">
    <w:name w:val="Block Text"/>
    <w:basedOn w:val="Normal"/>
    <w:rsid w:val="00192BAD"/>
    <w:pPr>
      <w:ind w:left="900" w:right="-720"/>
      <w:jc w:val="both"/>
    </w:pPr>
    <w:rPr>
      <w:sz w:val="24"/>
    </w:rPr>
  </w:style>
  <w:style w:type="paragraph" w:styleId="FootnoteText">
    <w:name w:val="footnote text"/>
    <w:basedOn w:val="Normal"/>
    <w:link w:val="FootnoteTextChar"/>
    <w:rsid w:val="00D75422"/>
    <w:rPr>
      <w:rFonts w:eastAsia="Times New Roman"/>
    </w:rPr>
  </w:style>
  <w:style w:type="character" w:styleId="FootnoteReference">
    <w:name w:val="footnote reference"/>
    <w:qFormat/>
    <w:rsid w:val="00D75422"/>
    <w:rPr>
      <w:vertAlign w:val="superscript"/>
    </w:rPr>
  </w:style>
  <w:style w:type="character" w:customStyle="1" w:styleId="xesmall1">
    <w:name w:val="xesmall1"/>
    <w:rsid w:val="00D75422"/>
    <w:rPr>
      <w:color w:val="666666"/>
      <w:sz w:val="23"/>
      <w:szCs w:val="23"/>
    </w:rPr>
  </w:style>
  <w:style w:type="character" w:styleId="PageNumber">
    <w:name w:val="page number"/>
    <w:basedOn w:val="DefaultParagraphFont"/>
    <w:rsid w:val="00D75422"/>
  </w:style>
  <w:style w:type="character" w:styleId="Emphasis">
    <w:name w:val="Emphasis"/>
    <w:uiPriority w:val="20"/>
    <w:qFormat/>
    <w:rsid w:val="009E5B1B"/>
    <w:rPr>
      <w:b/>
      <w:bCs/>
      <w:i w:val="0"/>
      <w:iCs w:val="0"/>
    </w:rPr>
  </w:style>
  <w:style w:type="paragraph" w:styleId="BalloonText">
    <w:name w:val="Balloon Text"/>
    <w:basedOn w:val="Normal"/>
    <w:link w:val="BalloonTextChar"/>
    <w:rsid w:val="00C22D25"/>
    <w:rPr>
      <w:rFonts w:ascii="Tahoma" w:hAnsi="Tahoma" w:cs="Tahoma"/>
      <w:sz w:val="16"/>
      <w:szCs w:val="16"/>
    </w:rPr>
  </w:style>
  <w:style w:type="character" w:customStyle="1" w:styleId="BalloonTextChar">
    <w:name w:val="Balloon Text Char"/>
    <w:link w:val="BalloonText"/>
    <w:rsid w:val="00C22D25"/>
    <w:rPr>
      <w:rFonts w:ascii="Tahoma" w:hAnsi="Tahoma" w:cs="Tahoma"/>
      <w:sz w:val="16"/>
      <w:szCs w:val="16"/>
    </w:rPr>
  </w:style>
  <w:style w:type="paragraph" w:styleId="ListParagraph">
    <w:name w:val="List Paragraph"/>
    <w:basedOn w:val="Normal"/>
    <w:uiPriority w:val="34"/>
    <w:qFormat/>
    <w:rsid w:val="005904A8"/>
    <w:pPr>
      <w:ind w:left="720"/>
      <w:contextualSpacing/>
    </w:pPr>
  </w:style>
  <w:style w:type="paragraph" w:customStyle="1" w:styleId="BasicParagraph">
    <w:name w:val="[Basic Paragraph]"/>
    <w:basedOn w:val="Normal"/>
    <w:rsid w:val="00A078CD"/>
    <w:pPr>
      <w:autoSpaceDE w:val="0"/>
      <w:autoSpaceDN w:val="0"/>
      <w:adjustRightInd w:val="0"/>
      <w:spacing w:line="288" w:lineRule="auto"/>
      <w:textAlignment w:val="center"/>
    </w:pPr>
    <w:rPr>
      <w:rFonts w:eastAsia="Times New Roman"/>
      <w:color w:val="000000"/>
      <w:sz w:val="24"/>
      <w:szCs w:val="24"/>
    </w:rPr>
  </w:style>
  <w:style w:type="character" w:customStyle="1" w:styleId="FootnoteTextChar">
    <w:name w:val="Footnote Text Char"/>
    <w:basedOn w:val="DefaultParagraphFont"/>
    <w:link w:val="FootnoteText"/>
    <w:rsid w:val="00A078CD"/>
    <w:rPr>
      <w:rFonts w:eastAsia="Times New Roman"/>
    </w:rPr>
  </w:style>
  <w:style w:type="character" w:customStyle="1" w:styleId="HeaderChar">
    <w:name w:val="Header Char"/>
    <w:basedOn w:val="DefaultParagraphFont"/>
    <w:link w:val="Header"/>
    <w:rsid w:val="00A078CD"/>
  </w:style>
  <w:style w:type="character" w:customStyle="1" w:styleId="FooterChar">
    <w:name w:val="Footer Char"/>
    <w:basedOn w:val="DefaultParagraphFont"/>
    <w:link w:val="Footer"/>
    <w:rsid w:val="00A078CD"/>
  </w:style>
  <w:style w:type="character" w:customStyle="1" w:styleId="Heading5Char">
    <w:name w:val="Heading 5 Char"/>
    <w:basedOn w:val="DefaultParagraphFont"/>
    <w:link w:val="Heading5"/>
    <w:semiHidden/>
    <w:rsid w:val="005920DE"/>
    <w:rPr>
      <w:rFonts w:asciiTheme="majorHAnsi" w:eastAsiaTheme="majorEastAsia" w:hAnsiTheme="majorHAnsi" w:cstheme="majorBidi"/>
      <w:color w:val="243F60" w:themeColor="accent1" w:themeShade="7F"/>
    </w:rPr>
  </w:style>
  <w:style w:type="character" w:customStyle="1" w:styleId="Heading3Char">
    <w:name w:val="Heading 3 Char"/>
    <w:basedOn w:val="DefaultParagraphFont"/>
    <w:link w:val="Heading3"/>
    <w:rsid w:val="005920DE"/>
    <w:rPr>
      <w:b/>
      <w:i/>
      <w:sz w:val="72"/>
    </w:rPr>
  </w:style>
  <w:style w:type="table" w:styleId="TableGrid">
    <w:name w:val="Table Grid"/>
    <w:basedOn w:val="TableNormal"/>
    <w:rsid w:val="005920D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606495"/>
    <w:rPr>
      <w:rFonts w:eastAsia="Times New Roman"/>
      <w:sz w:val="24"/>
    </w:rPr>
  </w:style>
  <w:style w:type="character" w:customStyle="1" w:styleId="BodyText2Char">
    <w:name w:val="Body Text 2 Char"/>
    <w:basedOn w:val="DefaultParagraphFont"/>
    <w:link w:val="BodyText2"/>
    <w:rsid w:val="00606495"/>
    <w:rPr>
      <w:rFonts w:eastAsia="Times New Roman"/>
      <w:sz w:val="24"/>
    </w:rPr>
  </w:style>
  <w:style w:type="paragraph" w:styleId="ListContinue">
    <w:name w:val="List Continue"/>
    <w:basedOn w:val="Normal"/>
    <w:rsid w:val="00473CC6"/>
    <w:pPr>
      <w:spacing w:after="220"/>
      <w:jc w:val="both"/>
    </w:pPr>
    <w:rPr>
      <w:rFonts w:eastAsia="Times New Roman"/>
      <w:sz w:val="22"/>
    </w:rPr>
  </w:style>
  <w:style w:type="paragraph" w:customStyle="1" w:styleId="Default">
    <w:name w:val="Default"/>
    <w:rsid w:val="00E7234C"/>
    <w:pPr>
      <w:autoSpaceDE w:val="0"/>
      <w:autoSpaceDN w:val="0"/>
      <w:adjustRightInd w:val="0"/>
    </w:pPr>
    <w:rPr>
      <w:rFonts w:eastAsia="Times New Roman"/>
      <w:color w:val="000000"/>
      <w:sz w:val="24"/>
      <w:szCs w:val="24"/>
    </w:rPr>
  </w:style>
  <w:style w:type="paragraph" w:customStyle="1" w:styleId="ArialIndent1">
    <w:name w:val="Arial Indent 1&quot;"/>
    <w:basedOn w:val="Normal"/>
    <w:rsid w:val="00D50BB6"/>
    <w:pPr>
      <w:spacing w:after="220"/>
      <w:ind w:left="1440"/>
      <w:jc w:val="both"/>
      <w:outlineLvl w:val="0"/>
    </w:pPr>
    <w:rPr>
      <w:rFonts w:ascii="Arial" w:eastAsia="Times New Roman" w:hAnsi="Arial"/>
    </w:rPr>
  </w:style>
  <w:style w:type="paragraph" w:styleId="ListNumber">
    <w:name w:val="List Number"/>
    <w:basedOn w:val="Normal"/>
    <w:rsid w:val="00D50BB6"/>
    <w:pPr>
      <w:contextualSpacing/>
    </w:pPr>
  </w:style>
  <w:style w:type="character" w:styleId="CommentReference">
    <w:name w:val="annotation reference"/>
    <w:basedOn w:val="DefaultParagraphFont"/>
    <w:rsid w:val="00ED1A13"/>
    <w:rPr>
      <w:sz w:val="16"/>
      <w:szCs w:val="16"/>
    </w:rPr>
  </w:style>
  <w:style w:type="paragraph" w:styleId="CommentText">
    <w:name w:val="annotation text"/>
    <w:basedOn w:val="Normal"/>
    <w:link w:val="CommentTextChar"/>
    <w:rsid w:val="00ED1A13"/>
  </w:style>
  <w:style w:type="character" w:customStyle="1" w:styleId="CommentTextChar">
    <w:name w:val="Comment Text Char"/>
    <w:basedOn w:val="DefaultParagraphFont"/>
    <w:link w:val="CommentText"/>
    <w:rsid w:val="00ED1A13"/>
  </w:style>
  <w:style w:type="paragraph" w:styleId="CommentSubject">
    <w:name w:val="annotation subject"/>
    <w:basedOn w:val="CommentText"/>
    <w:next w:val="CommentText"/>
    <w:link w:val="CommentSubjectChar"/>
    <w:rsid w:val="00ED1A13"/>
    <w:rPr>
      <w:b/>
      <w:bCs/>
    </w:rPr>
  </w:style>
  <w:style w:type="character" w:customStyle="1" w:styleId="CommentSubjectChar">
    <w:name w:val="Comment Subject Char"/>
    <w:basedOn w:val="CommentTextChar"/>
    <w:link w:val="CommentSubject"/>
    <w:rsid w:val="00ED1A13"/>
    <w:rPr>
      <w:b/>
      <w:bCs/>
    </w:rPr>
  </w:style>
  <w:style w:type="paragraph" w:styleId="Revision">
    <w:name w:val="Revision"/>
    <w:hidden/>
    <w:uiPriority w:val="99"/>
    <w:semiHidden/>
    <w:rsid w:val="00FA1E48"/>
  </w:style>
  <w:style w:type="paragraph" w:styleId="BodyText">
    <w:name w:val="Body Text"/>
    <w:basedOn w:val="Normal"/>
    <w:link w:val="BodyTextChar"/>
    <w:rsid w:val="00CF142C"/>
    <w:pPr>
      <w:spacing w:after="120"/>
    </w:pPr>
  </w:style>
  <w:style w:type="character" w:customStyle="1" w:styleId="BodyTextChar">
    <w:name w:val="Body Text Char"/>
    <w:basedOn w:val="DefaultParagraphFont"/>
    <w:link w:val="BodyText"/>
    <w:rsid w:val="00CF142C"/>
  </w:style>
  <w:style w:type="paragraph" w:styleId="ListNumber2">
    <w:name w:val="List Number 2"/>
    <w:basedOn w:val="Normal"/>
    <w:rsid w:val="0093572B"/>
    <w:pPr>
      <w:numPr>
        <w:numId w:val="1"/>
      </w:numPr>
      <w:contextualSpacing/>
    </w:pPr>
  </w:style>
  <w:style w:type="paragraph" w:styleId="BodyText3">
    <w:name w:val="Body Text 3"/>
    <w:basedOn w:val="Normal"/>
    <w:link w:val="BodyText3Char"/>
    <w:rsid w:val="0093572B"/>
    <w:pPr>
      <w:spacing w:after="120"/>
    </w:pPr>
    <w:rPr>
      <w:sz w:val="16"/>
      <w:szCs w:val="16"/>
    </w:rPr>
  </w:style>
  <w:style w:type="character" w:customStyle="1" w:styleId="BodyText3Char">
    <w:name w:val="Body Text 3 Char"/>
    <w:basedOn w:val="DefaultParagraphFont"/>
    <w:link w:val="BodyText3"/>
    <w:rsid w:val="0093572B"/>
    <w:rPr>
      <w:sz w:val="16"/>
      <w:szCs w:val="16"/>
    </w:rPr>
  </w:style>
  <w:style w:type="paragraph" w:styleId="ListContinue2">
    <w:name w:val="List Continue 2"/>
    <w:basedOn w:val="Normal"/>
    <w:uiPriority w:val="99"/>
    <w:unhideWhenUsed/>
    <w:rsid w:val="0093572B"/>
    <w:pPr>
      <w:spacing w:after="120"/>
      <w:ind w:left="720"/>
      <w:contextualSpacing/>
    </w:pPr>
    <w:rPr>
      <w:rFonts w:eastAsia="Times New Roman"/>
    </w:rPr>
  </w:style>
  <w:style w:type="paragraph" w:styleId="ListContinue3">
    <w:name w:val="List Continue 3"/>
    <w:basedOn w:val="Normal"/>
    <w:uiPriority w:val="99"/>
    <w:unhideWhenUsed/>
    <w:rsid w:val="0093572B"/>
    <w:pPr>
      <w:spacing w:after="120"/>
      <w:ind w:left="1080"/>
      <w:contextualSpacing/>
    </w:pPr>
    <w:rPr>
      <w:rFonts w:eastAsia="Times New Roman"/>
    </w:rPr>
  </w:style>
  <w:style w:type="character" w:customStyle="1" w:styleId="UnresolvedMention1">
    <w:name w:val="Unresolved Mention1"/>
    <w:basedOn w:val="DefaultParagraphFont"/>
    <w:uiPriority w:val="99"/>
    <w:semiHidden/>
    <w:unhideWhenUsed/>
    <w:rsid w:val="00A47964"/>
    <w:rPr>
      <w:color w:val="605E5C"/>
      <w:shd w:val="clear" w:color="auto" w:fill="E1DFDD"/>
    </w:rPr>
  </w:style>
  <w:style w:type="character" w:styleId="UnresolvedMention">
    <w:name w:val="Unresolved Mention"/>
    <w:basedOn w:val="DefaultParagraphFont"/>
    <w:uiPriority w:val="99"/>
    <w:semiHidden/>
    <w:unhideWhenUsed/>
    <w:rsid w:val="00B47FCB"/>
    <w:rPr>
      <w:color w:val="605E5C"/>
      <w:shd w:val="clear" w:color="auto" w:fill="E1DFDD"/>
    </w:rPr>
  </w:style>
  <w:style w:type="paragraph" w:customStyle="1" w:styleId="ListContinued">
    <w:name w:val="List Continued"/>
    <w:basedOn w:val="Normal"/>
    <w:qFormat/>
    <w:rsid w:val="00426060"/>
    <w:pPr>
      <w:numPr>
        <w:numId w:val="16"/>
      </w:numPr>
      <w:spacing w:after="220"/>
      <w:jc w:val="both"/>
    </w:pPr>
    <w:rPr>
      <w:rFonts w:ascii="Times" w:eastAsia="Times New Roman" w:hAnsi="Time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328414">
      <w:bodyDiv w:val="1"/>
      <w:marLeft w:val="0"/>
      <w:marRight w:val="0"/>
      <w:marTop w:val="0"/>
      <w:marBottom w:val="0"/>
      <w:divBdr>
        <w:top w:val="none" w:sz="0" w:space="0" w:color="auto"/>
        <w:left w:val="none" w:sz="0" w:space="0" w:color="auto"/>
        <w:bottom w:val="none" w:sz="0" w:space="0" w:color="auto"/>
        <w:right w:val="none" w:sz="0" w:space="0" w:color="auto"/>
      </w:divBdr>
    </w:div>
    <w:div w:id="261845008">
      <w:bodyDiv w:val="1"/>
      <w:marLeft w:val="0"/>
      <w:marRight w:val="0"/>
      <w:marTop w:val="0"/>
      <w:marBottom w:val="0"/>
      <w:divBdr>
        <w:top w:val="none" w:sz="0" w:space="0" w:color="auto"/>
        <w:left w:val="none" w:sz="0" w:space="0" w:color="auto"/>
        <w:bottom w:val="none" w:sz="0" w:space="0" w:color="auto"/>
        <w:right w:val="none" w:sz="0" w:space="0" w:color="auto"/>
      </w:divBdr>
    </w:div>
    <w:div w:id="294485952">
      <w:bodyDiv w:val="1"/>
      <w:marLeft w:val="0"/>
      <w:marRight w:val="0"/>
      <w:marTop w:val="0"/>
      <w:marBottom w:val="0"/>
      <w:divBdr>
        <w:top w:val="none" w:sz="0" w:space="0" w:color="auto"/>
        <w:left w:val="none" w:sz="0" w:space="0" w:color="auto"/>
        <w:bottom w:val="none" w:sz="0" w:space="0" w:color="auto"/>
        <w:right w:val="none" w:sz="0" w:space="0" w:color="auto"/>
      </w:divBdr>
    </w:div>
    <w:div w:id="339937522">
      <w:bodyDiv w:val="1"/>
      <w:marLeft w:val="0"/>
      <w:marRight w:val="0"/>
      <w:marTop w:val="0"/>
      <w:marBottom w:val="0"/>
      <w:divBdr>
        <w:top w:val="none" w:sz="0" w:space="0" w:color="auto"/>
        <w:left w:val="none" w:sz="0" w:space="0" w:color="auto"/>
        <w:bottom w:val="none" w:sz="0" w:space="0" w:color="auto"/>
        <w:right w:val="none" w:sz="0" w:space="0" w:color="auto"/>
      </w:divBdr>
    </w:div>
    <w:div w:id="533426092">
      <w:bodyDiv w:val="1"/>
      <w:marLeft w:val="0"/>
      <w:marRight w:val="0"/>
      <w:marTop w:val="0"/>
      <w:marBottom w:val="0"/>
      <w:divBdr>
        <w:top w:val="none" w:sz="0" w:space="0" w:color="auto"/>
        <w:left w:val="none" w:sz="0" w:space="0" w:color="auto"/>
        <w:bottom w:val="none" w:sz="0" w:space="0" w:color="auto"/>
        <w:right w:val="none" w:sz="0" w:space="0" w:color="auto"/>
      </w:divBdr>
    </w:div>
    <w:div w:id="979846967">
      <w:bodyDiv w:val="1"/>
      <w:marLeft w:val="0"/>
      <w:marRight w:val="0"/>
      <w:marTop w:val="0"/>
      <w:marBottom w:val="0"/>
      <w:divBdr>
        <w:top w:val="none" w:sz="0" w:space="0" w:color="auto"/>
        <w:left w:val="none" w:sz="0" w:space="0" w:color="auto"/>
        <w:bottom w:val="none" w:sz="0" w:space="0" w:color="auto"/>
        <w:right w:val="none" w:sz="0" w:space="0" w:color="auto"/>
      </w:divBdr>
    </w:div>
    <w:div w:id="1032806538">
      <w:bodyDiv w:val="1"/>
      <w:marLeft w:val="0"/>
      <w:marRight w:val="0"/>
      <w:marTop w:val="0"/>
      <w:marBottom w:val="0"/>
      <w:divBdr>
        <w:top w:val="none" w:sz="0" w:space="0" w:color="auto"/>
        <w:left w:val="none" w:sz="0" w:space="0" w:color="auto"/>
        <w:bottom w:val="none" w:sz="0" w:space="0" w:color="auto"/>
        <w:right w:val="none" w:sz="0" w:space="0" w:color="auto"/>
      </w:divBdr>
    </w:div>
    <w:div w:id="1198741728">
      <w:bodyDiv w:val="1"/>
      <w:marLeft w:val="0"/>
      <w:marRight w:val="0"/>
      <w:marTop w:val="0"/>
      <w:marBottom w:val="0"/>
      <w:divBdr>
        <w:top w:val="none" w:sz="0" w:space="0" w:color="auto"/>
        <w:left w:val="none" w:sz="0" w:space="0" w:color="auto"/>
        <w:bottom w:val="none" w:sz="0" w:space="0" w:color="auto"/>
        <w:right w:val="none" w:sz="0" w:space="0" w:color="auto"/>
      </w:divBdr>
    </w:div>
    <w:div w:id="1311712882">
      <w:bodyDiv w:val="1"/>
      <w:marLeft w:val="0"/>
      <w:marRight w:val="0"/>
      <w:marTop w:val="0"/>
      <w:marBottom w:val="0"/>
      <w:divBdr>
        <w:top w:val="none" w:sz="0" w:space="0" w:color="auto"/>
        <w:left w:val="none" w:sz="0" w:space="0" w:color="auto"/>
        <w:bottom w:val="none" w:sz="0" w:space="0" w:color="auto"/>
        <w:right w:val="none" w:sz="0" w:space="0" w:color="auto"/>
      </w:divBdr>
    </w:div>
    <w:div w:id="1944803622">
      <w:bodyDiv w:val="1"/>
      <w:marLeft w:val="0"/>
      <w:marRight w:val="0"/>
      <w:marTop w:val="0"/>
      <w:marBottom w:val="0"/>
      <w:divBdr>
        <w:top w:val="none" w:sz="0" w:space="0" w:color="auto"/>
        <w:left w:val="none" w:sz="0" w:space="0" w:color="auto"/>
        <w:bottom w:val="none" w:sz="0" w:space="0" w:color="auto"/>
        <w:right w:val="none" w:sz="0" w:space="0" w:color="auto"/>
      </w:divBdr>
    </w:div>
    <w:div w:id="1999192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pinegar@naic.org"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DD0FEDF019004E4AB00FDE98BFC1B847" ma:contentTypeVersion="19" ma:contentTypeDescription="Create a new document." ma:contentTypeScope="" ma:versionID="d4b2d34a2240354c96f00560d1f4df24">
  <xsd:schema xmlns:xsd="http://www.w3.org/2001/XMLSchema" xmlns:xs="http://www.w3.org/2001/XMLSchema" xmlns:p="http://schemas.microsoft.com/office/2006/metadata/properties" xmlns:ns2="dbd46520-c392-41b5-9f68-fe7486eefad7" xmlns:ns3="826143e3-bbcb-45bb-8829-107013e701e5" xmlns:ns4="3c9e15a3-223f-4584-afb1-1dbe0b3878fa" targetNamespace="http://schemas.microsoft.com/office/2006/metadata/properties" ma:root="true" ma:fieldsID="76e36c993ebb523253fd760d9901fd3a" ns2:_="" ns3:_="" ns4:_="">
    <xsd:import namespace="dbd46520-c392-41b5-9f68-fe7486eefad7"/>
    <xsd:import namespace="826143e3-bbcb-45bb-8829-107013e701e5"/>
    <xsd:import namespace="3c9e15a3-223f-4584-afb1-1dbe0b3878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LengthInSeconds" minOccurs="0"/>
                <xsd:element ref="ns2:ProgressStatu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d46520-c392-41b5-9f68-fe7486eefa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28e0220-fee2-4e32-9192-0559fdf47d5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ProgressStatus" ma:index="25" nillable="true" ma:displayName="Progress Status" ma:default="Not Started" ma:description="Green = Complete&#10;Yellow = In-Progress&#10;Red = Not Started" ma:format="Dropdown" ma:internalName="ProgressStatus">
      <xsd:simpleType>
        <xsd:union memberTypes="dms:Text">
          <xsd:simpleType>
            <xsd:restriction base="dms:Choice">
              <xsd:enumeration value="Complete"/>
              <xsd:enumeration value="Pending 2nd Review"/>
              <xsd:enumeration value="Ready for Review"/>
              <xsd:enumeration value="In-Progress"/>
              <xsd:enumeration value="Not Started"/>
            </xsd:restriction>
          </xsd:simpleType>
        </xsd:union>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6143e3-bbcb-45bb-8829-107013e701e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c9e15a3-223f-4584-afb1-1dbe0b3878f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57f632e-5ad0-4c8c-a771-480ef62b4bfd}" ma:internalName="TaxCatchAll" ma:showField="CatchAllData" ma:web="826143e3-bbcb-45bb-8829-107013e701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bd46520-c392-41b5-9f68-fe7486eefad7">
      <Terms xmlns="http://schemas.microsoft.com/office/infopath/2007/PartnerControls"/>
    </lcf76f155ced4ddcb4097134ff3c332f>
    <TaxCatchAll xmlns="3c9e15a3-223f-4584-afb1-1dbe0b3878fa" xsi:nil="true"/>
    <ProgressStatus xmlns="dbd46520-c392-41b5-9f68-fe7486eefad7">Not Started</ProgressStatu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15E725-C4BE-47BD-A204-D328579857CD}">
  <ds:schemaRefs>
    <ds:schemaRef ds:uri="http://schemas.openxmlformats.org/officeDocument/2006/bibliography"/>
  </ds:schemaRefs>
</ds:datastoreItem>
</file>

<file path=customXml/itemProps2.xml><?xml version="1.0" encoding="utf-8"?>
<ds:datastoreItem xmlns:ds="http://schemas.openxmlformats.org/officeDocument/2006/customXml" ds:itemID="{760A1CA8-1E91-48EC-9CE3-1EE0A9F0C8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d46520-c392-41b5-9f68-fe7486eefad7"/>
    <ds:schemaRef ds:uri="826143e3-bbcb-45bb-8829-107013e701e5"/>
    <ds:schemaRef ds:uri="3c9e15a3-223f-4584-afb1-1dbe0b3878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779EFA-5251-44A1-9B70-89FBE3D3579C}">
  <ds:schemaRefs>
    <ds:schemaRef ds:uri="http://schemas.microsoft.com/office/2006/metadata/properties"/>
    <ds:schemaRef ds:uri="http://schemas.microsoft.com/office/infopath/2007/PartnerControls"/>
    <ds:schemaRef ds:uri="dbd46520-c392-41b5-9f68-fe7486eefad7"/>
    <ds:schemaRef ds:uri="3c9e15a3-223f-4584-afb1-1dbe0b3878fa"/>
  </ds:schemaRefs>
</ds:datastoreItem>
</file>

<file path=customXml/itemProps4.xml><?xml version="1.0" encoding="utf-8"?>
<ds:datastoreItem xmlns:ds="http://schemas.openxmlformats.org/officeDocument/2006/customXml" ds:itemID="{8490F35C-AA4E-45CB-A310-3DCCCFE9D980}">
  <ds:schemaRefs>
    <ds:schemaRef ds:uri="http://schemas.microsoft.com/sharepoint/v3/contenttype/forms"/>
  </ds:schemaRefs>
</ds:datastoreItem>
</file>

<file path=docMetadata/LabelInfo.xml><?xml version="1.0" encoding="utf-8"?>
<clbl:labelList xmlns:clbl="http://schemas.microsoft.com/office/2020/mipLabelMetadata">
  <clbl:label id="{61f7c44d-d510-4321-9258-956e71d8b56e}" enabled="0" method="" siteId="{61f7c44d-d510-4321-9258-956e71d8b56e}" removed="1"/>
</clbl:labelList>
</file>

<file path=docProps/app.xml><?xml version="1.0" encoding="utf-8"?>
<Properties xmlns="http://schemas.openxmlformats.org/officeDocument/2006/extended-properties" xmlns:vt="http://schemas.openxmlformats.org/officeDocument/2006/docPropsVTypes">
  <Template>Normal</Template>
  <TotalTime>3</TotalTime>
  <Pages>3</Pages>
  <Words>1161</Words>
  <Characters>7620</Characters>
  <Application>Microsoft Office Word</Application>
  <DocSecurity>0</DocSecurity>
  <Lines>100</Lines>
  <Paragraphs>40</Paragraphs>
  <ScaleCrop>false</ScaleCrop>
  <HeadingPairs>
    <vt:vector size="2" baseType="variant">
      <vt:variant>
        <vt:lpstr>Title</vt:lpstr>
      </vt:variant>
      <vt:variant>
        <vt:i4>1</vt:i4>
      </vt:variant>
    </vt:vector>
  </HeadingPairs>
  <TitlesOfParts>
    <vt:vector size="1" baseType="lpstr">
      <vt:lpstr>TO:</vt:lpstr>
    </vt:vector>
  </TitlesOfParts>
  <Company>NAIC</Company>
  <LinksUpToDate>false</LinksUpToDate>
  <CharactersWithSpaces>8741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Wilkinson, Jeremy</dc:creator>
  <cp:keywords/>
  <cp:lastModifiedBy>Braun, Monica</cp:lastModifiedBy>
  <cp:revision>7</cp:revision>
  <cp:lastPrinted>2026-07-27T20:08:00Z</cp:lastPrinted>
  <dcterms:created xsi:type="dcterms:W3CDTF">2026-07-23T18:49:00Z</dcterms:created>
  <dcterms:modified xsi:type="dcterms:W3CDTF">2026-07-27T20:08:00Z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0x010100DD0FEDF019004E4AB00FDE98BFC1B847</vt:lpwstr>
  </property>
  <property fmtid="{D5CDD505-2E9C-101B-9397-08002B2CF9AE}" pid="4" name="docLang">
    <vt:lpwstr>en</vt:lpwstr>
  </property>
  <property fmtid="{D5CDD505-2E9C-101B-9397-08002B2CF9AE}" pid="5" name="MediaServiceImageTags">
    <vt:lpwstr/>
  </property>
</Properties>
</file>